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600" w:lineRule="exact"/>
        <w:jc w:val="center"/>
        <w:rPr>
          <w:rFonts w:hint="eastAsia" w:ascii="方正小标宋简体" w:hAnsi="方正小标宋简体" w:eastAsia="方正小标宋简体" w:cs="方正小标宋简体"/>
          <w:sz w:val="44"/>
          <w:szCs w:val="44"/>
          <w:lang w:eastAsia="zh-CN"/>
        </w:rPr>
      </w:pPr>
    </w:p>
    <w:p>
      <w:pPr>
        <w:spacing w:beforeLines="100" w:line="600" w:lineRule="exact"/>
        <w:jc w:val="center"/>
        <w:rPr>
          <w:rFonts w:ascii="方正小标宋简体" w:hAnsi="方正小标宋简体" w:eastAsia="方正小标宋简体" w:cs="方正小标宋简体"/>
          <w:sz w:val="44"/>
          <w:szCs w:val="44"/>
        </w:rPr>
      </w:pPr>
      <w:r>
        <w:drawing>
          <wp:anchor distT="0" distB="0" distL="114300" distR="114300" simplePos="0" relativeHeight="251658240" behindDoc="0" locked="0" layoutInCell="1" allowOverlap="1">
            <wp:simplePos x="0" y="0"/>
            <wp:positionH relativeFrom="column">
              <wp:posOffset>-389890</wp:posOffset>
            </wp:positionH>
            <wp:positionV relativeFrom="paragraph">
              <wp:posOffset>57150</wp:posOffset>
            </wp:positionV>
            <wp:extent cx="6022340" cy="916940"/>
            <wp:effectExtent l="0" t="0" r="16510" b="1651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cstate="print"/>
                    <a:stretch>
                      <a:fillRect/>
                    </a:stretch>
                  </pic:blipFill>
                  <pic:spPr>
                    <a:xfrm>
                      <a:off x="0" y="0"/>
                      <a:ext cx="6022340" cy="916940"/>
                    </a:xfrm>
                    <a:prstGeom prst="rect">
                      <a:avLst/>
                    </a:prstGeom>
                    <a:noFill/>
                    <a:ln>
                      <a:noFill/>
                    </a:ln>
                  </pic:spPr>
                </pic:pic>
              </a:graphicData>
            </a:graphic>
          </wp:anchor>
        </w:drawing>
      </w:r>
      <w:r>
        <w:rPr>
          <w:rFonts w:hint="eastAsia" w:ascii="方正小标宋简体" w:hAnsi="方正小标宋简体" w:eastAsia="方正小标宋简体" w:cs="方正小标宋简体"/>
          <w:sz w:val="44"/>
          <w:szCs w:val="44"/>
        </w:rPr>
        <w:t>湘潭医卫职业技术学院</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2019年继续教育年度发展报告</w:t>
      </w:r>
    </w:p>
    <w:p>
      <w:pPr>
        <w:pStyle w:val="10"/>
        <w:spacing w:line="400" w:lineRule="exact"/>
        <w:ind w:firstLine="0" w:firstLineChars="0"/>
        <w:jc w:val="left"/>
        <w:rPr>
          <w:rFonts w:ascii="仿宋_GB2312" w:hAnsi="仿宋_GB2312" w:eastAsia="仿宋_GB2312" w:cs="仿宋_GB2312"/>
          <w:b/>
          <w:sz w:val="32"/>
          <w:szCs w:val="32"/>
        </w:rPr>
      </w:pPr>
      <w:bookmarkStart w:id="0" w:name="_GoBack"/>
      <w:bookmarkEnd w:id="0"/>
    </w:p>
    <w:p>
      <w:pPr>
        <w:pStyle w:val="10"/>
        <w:spacing w:line="600" w:lineRule="exact"/>
        <w:ind w:firstLine="640"/>
        <w:jc w:val="left"/>
        <w:rPr>
          <w:rFonts w:ascii="黑体" w:hAnsi="黑体" w:eastAsia="黑体" w:cs="黑体"/>
          <w:bCs/>
          <w:sz w:val="32"/>
          <w:szCs w:val="32"/>
        </w:rPr>
      </w:pPr>
      <w:r>
        <w:rPr>
          <w:rFonts w:hint="eastAsia" w:ascii="黑体" w:hAnsi="黑体" w:eastAsia="黑体" w:cs="黑体"/>
          <w:bCs/>
          <w:sz w:val="32"/>
          <w:szCs w:val="32"/>
        </w:rPr>
        <w:t>一、学校情况</w:t>
      </w:r>
    </w:p>
    <w:p>
      <w:pPr>
        <w:pStyle w:val="10"/>
        <w:spacing w:line="600" w:lineRule="exact"/>
        <w:ind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（一）学校概况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湘潭医卫职业技术学院是由湘潭市人民政府主办，面向全国招生的全日制普通高职院校，办学历史溯源于1915年美国基督教长老会创办的广德高级护士职业学校。2001年由湘潭职工大学、湘潭机电工业中专合并组建湘潭职业技术学院，2004年湘潭卫生学校并入。2015年，为发挥学校办学优势，更名为湘潭医卫职业技术学院，实施转型发展，走特色发展道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学校现有两个校区，在校学生</w:t>
      </w:r>
      <w:r>
        <w:rPr>
          <w:rFonts w:hint="eastAsia" w:ascii="仿宋_GB2312" w:hAnsi="仿宋_GB2312" w:eastAsia="仿宋_GB2312" w:cs="仿宋_GB2312"/>
          <w:sz w:val="32"/>
          <w:szCs w:val="32"/>
          <w:lang w:val="en-US" w:eastAsia="zh-CN"/>
        </w:rPr>
        <w:t>13000余</w:t>
      </w:r>
      <w:r>
        <w:rPr>
          <w:rFonts w:hint="eastAsia" w:ascii="仿宋_GB2312" w:hAnsi="仿宋_GB2312" w:eastAsia="仿宋_GB2312" w:cs="仿宋_GB2312"/>
          <w:sz w:val="32"/>
          <w:szCs w:val="32"/>
        </w:rPr>
        <w:t>人，在职在编教职工</w:t>
      </w:r>
      <w:r>
        <w:rPr>
          <w:rFonts w:hint="eastAsia" w:ascii="仿宋_GB2312" w:hAnsi="仿宋_GB2312" w:eastAsia="仿宋_GB2312" w:cs="仿宋_GB2312"/>
          <w:sz w:val="32"/>
          <w:szCs w:val="32"/>
          <w:lang w:val="en-US" w:eastAsia="zh-CN"/>
        </w:rPr>
        <w:t>648</w:t>
      </w:r>
      <w:r>
        <w:rPr>
          <w:rFonts w:hint="eastAsia" w:ascii="仿宋_GB2312" w:hAnsi="仿宋_GB2312" w:eastAsia="仿宋_GB2312" w:cs="仿宋_GB2312"/>
          <w:sz w:val="32"/>
          <w:szCs w:val="32"/>
        </w:rPr>
        <w:t>人，其中教授、主任医师等正高职称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人，副教授及其他副高级职称教师</w:t>
      </w:r>
      <w:r>
        <w:rPr>
          <w:rFonts w:hint="eastAsia" w:ascii="仿宋_GB2312" w:hAnsi="仿宋_GB2312" w:eastAsia="仿宋_GB2312" w:cs="仿宋_GB2312"/>
          <w:sz w:val="32"/>
          <w:szCs w:val="32"/>
          <w:lang w:val="en-US" w:eastAsia="zh-CN"/>
        </w:rPr>
        <w:t>159</w:t>
      </w:r>
      <w:r>
        <w:rPr>
          <w:rFonts w:hint="eastAsia" w:ascii="仿宋_GB2312" w:hAnsi="仿宋_GB2312" w:eastAsia="仿宋_GB2312" w:cs="仿宋_GB2312"/>
          <w:sz w:val="32"/>
          <w:szCs w:val="32"/>
        </w:rPr>
        <w:t>人,“双师型”教师200余人。</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学校是教育部、财政部“优质省级职教师资培养培训基地”，国家级康复治疗技术“双师型”教师培养培训基地，湖南省基层卫生本土化人才培养基地、湖南省助理全科医生培训基地、湖南省助理全科医生培训结业考核唯一考点、湘潭市专业技术人员继续教育培训基地，学校还是湖南省文明高校、湖南省普通高校毕业生就业创业工作“一把手工程”优秀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湖南省文明卫生单位。</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（二）学校继续教育总体规划</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我</w:t>
      </w:r>
      <w:r>
        <w:rPr>
          <w:rFonts w:hint="eastAsia" w:ascii="仿宋_GB2312" w:hAnsi="仿宋_GB2312" w:eastAsia="仿宋_GB2312" w:cs="仿宋_GB2312"/>
          <w:bCs/>
          <w:sz w:val="32"/>
          <w:szCs w:val="32"/>
        </w:rPr>
        <w:t>校继续教育</w:t>
      </w:r>
      <w:r>
        <w:rPr>
          <w:rFonts w:hint="eastAsia" w:ascii="仿宋_GB2312" w:hAnsi="仿宋_GB2312" w:eastAsia="仿宋_GB2312" w:cs="仿宋_GB2312"/>
          <w:sz w:val="32"/>
          <w:szCs w:val="32"/>
        </w:rPr>
        <w:t>利用自身优势和办学条件，加强与所在地方、社区的沟通与合作，根据自身条件，通过业务培训、继续教育、医疗进社区、医药下乡、技术服务、技术指导等多种方式为所在地方、社区的发展提供服务，推动校企协同创新，并积极争取各方面的支持和帮助。学校利用现代化教育手段和联合办学、订单培养、职业资格证培训等多样化办学机制，开展多种形式的</w:t>
      </w:r>
      <w:r>
        <w:rPr>
          <w:rFonts w:hint="eastAsia" w:ascii="仿宋_GB2312" w:hAnsi="仿宋_GB2312" w:eastAsia="仿宋_GB2312" w:cs="仿宋_GB2312"/>
          <w:sz w:val="32"/>
          <w:szCs w:val="32"/>
          <w:lang w:val="en-US" w:eastAsia="zh-CN"/>
        </w:rPr>
        <w:t>成人</w:t>
      </w:r>
      <w:r>
        <w:rPr>
          <w:rFonts w:hint="eastAsia" w:ascii="仿宋_GB2312" w:hAnsi="仿宋_GB2312" w:eastAsia="仿宋_GB2312" w:cs="仿宋_GB2312"/>
          <w:sz w:val="32"/>
          <w:szCs w:val="32"/>
        </w:rPr>
        <w:t>高等学历教育和非学历教育培训，为社会提供多样化的优质教育服务。</w:t>
      </w:r>
    </w:p>
    <w:p>
      <w:pPr>
        <w:spacing w:line="600" w:lineRule="exact"/>
        <w:ind w:firstLine="645"/>
        <w:rPr>
          <w:rFonts w:ascii="楷体" w:hAnsi="楷体" w:eastAsia="楷体" w:cs="仿宋_GB2312"/>
          <w:b/>
          <w:sz w:val="32"/>
          <w:szCs w:val="32"/>
        </w:rPr>
      </w:pPr>
      <w:r>
        <w:rPr>
          <w:rFonts w:hint="eastAsia" w:ascii="楷体" w:hAnsi="楷体" w:eastAsia="楷体" w:cs="仿宋_GB2312"/>
          <w:b/>
          <w:sz w:val="32"/>
          <w:szCs w:val="32"/>
        </w:rPr>
        <w:t>（三）学校继续教育办学定位</w:t>
      </w:r>
    </w:p>
    <w:p>
      <w:pPr>
        <w:spacing w:line="60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以全日制高职教育为主体，积极发展继续教育和职业培训，坚持学历教育和职业培训并举，探索学校优势专业开展应用型本科层次教育</w:t>
      </w:r>
      <w:r>
        <w:rPr>
          <w:rFonts w:hint="eastAsia" w:ascii="仿宋_GB2312" w:hAnsi="仿宋_GB2312" w:eastAsia="仿宋_GB2312" w:cs="仿宋_GB2312"/>
          <w:bCs/>
          <w:sz w:val="32"/>
          <w:szCs w:val="32"/>
          <w:lang w:eastAsia="zh-CN"/>
        </w:rPr>
        <w:t>。</w:t>
      </w:r>
    </w:p>
    <w:p>
      <w:pPr>
        <w:spacing w:line="60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（四）学校继续教育办学体制与管理机制</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我</w:t>
      </w:r>
      <w:r>
        <w:rPr>
          <w:rFonts w:hint="eastAsia" w:ascii="仿宋_GB2312" w:hAnsi="仿宋_GB2312" w:eastAsia="仿宋_GB2312" w:cs="仿宋_GB2312"/>
          <w:bCs/>
          <w:sz w:val="32"/>
          <w:szCs w:val="32"/>
        </w:rPr>
        <w:t>校继续教育</w:t>
      </w:r>
      <w:r>
        <w:rPr>
          <w:rFonts w:hint="eastAsia" w:ascii="仿宋_GB2312" w:hAnsi="仿宋_GB2312" w:eastAsia="仿宋_GB2312" w:cs="仿宋_GB2312"/>
          <w:bCs/>
          <w:sz w:val="32"/>
          <w:szCs w:val="32"/>
          <w:lang w:val="en-US" w:eastAsia="zh-CN"/>
        </w:rPr>
        <w:t>充分依托</w:t>
      </w:r>
      <w:r>
        <w:rPr>
          <w:rFonts w:hint="eastAsia" w:ascii="仿宋_GB2312" w:hAnsi="仿宋_GB2312" w:eastAsia="仿宋_GB2312" w:cs="仿宋_GB2312"/>
          <w:bCs/>
          <w:sz w:val="32"/>
          <w:szCs w:val="32"/>
        </w:rPr>
        <w:t>学校自身优势和办学条件，加强与地方、社区的沟通与合作，根据自身条件，通过继续教育、职业培训等多样化办学机制，开展多种形式的</w:t>
      </w:r>
      <w:r>
        <w:rPr>
          <w:rFonts w:hint="eastAsia" w:ascii="仿宋_GB2312" w:hAnsi="仿宋_GB2312" w:eastAsia="仿宋_GB2312" w:cs="仿宋_GB2312"/>
          <w:bCs/>
          <w:sz w:val="32"/>
          <w:szCs w:val="32"/>
          <w:lang w:val="en-US" w:eastAsia="zh-CN"/>
        </w:rPr>
        <w:t>成人</w:t>
      </w:r>
      <w:r>
        <w:rPr>
          <w:rFonts w:hint="eastAsia" w:ascii="仿宋_GB2312" w:hAnsi="仿宋_GB2312" w:eastAsia="仿宋_GB2312" w:cs="仿宋_GB2312"/>
          <w:bCs/>
          <w:sz w:val="32"/>
          <w:szCs w:val="32"/>
        </w:rPr>
        <w:t>高等学历教育和非学历教育培训，为社会提供多样化的优质教育服务。</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执行校院两级管理体制。成人教育培训部作为学校继续教育主管部门负责组织、管理、协调、服务。二级院部具体组织成人高等学历教育和各类培训。</w:t>
      </w:r>
    </w:p>
    <w:p>
      <w:pPr>
        <w:spacing w:line="600" w:lineRule="exact"/>
        <w:ind w:firstLine="645"/>
        <w:rPr>
          <w:rFonts w:ascii="黑体" w:hAnsi="黑体" w:eastAsia="黑体" w:cs="黑体"/>
          <w:sz w:val="32"/>
          <w:szCs w:val="32"/>
        </w:rPr>
      </w:pPr>
      <w:r>
        <w:rPr>
          <w:rFonts w:hint="eastAsia" w:ascii="黑体" w:hAnsi="黑体" w:eastAsia="黑体" w:cs="黑体"/>
          <w:sz w:val="32"/>
          <w:szCs w:val="32"/>
        </w:rPr>
        <w:t>二、专业设置</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（一）学历继续教育专业设置情况</w:t>
      </w:r>
    </w:p>
    <w:p>
      <w:pPr>
        <w:spacing w:line="60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1.专业设置概况。</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成教专业（专科）：临床医学、口腔医学、护理、助产、药学、医学检验技术、口腔医学技术、康复治疗技术、卫生信息管理、医疗设备应用技术。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2.专业结构布局。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学历继续教育开设专业有护理、康复治疗技术、口腔医学技术、临床医学、卫生信息管理、药学、医学检验技术、助产、口腔医学、医疗设备应用技术，全部为医卫类专业。2019年以上专业在校生人数和招生人数为：</w:t>
      </w:r>
    </w:p>
    <w:tbl>
      <w:tblPr>
        <w:tblStyle w:val="6"/>
        <w:tblW w:w="9216" w:type="dxa"/>
        <w:jc w:val="center"/>
        <w:tblLayout w:type="autofit"/>
        <w:tblCellMar>
          <w:top w:w="0" w:type="dxa"/>
          <w:left w:w="0" w:type="dxa"/>
          <w:bottom w:w="0" w:type="dxa"/>
          <w:right w:w="0" w:type="dxa"/>
        </w:tblCellMar>
      </w:tblPr>
      <w:tblGrid>
        <w:gridCol w:w="1644"/>
        <w:gridCol w:w="732"/>
        <w:gridCol w:w="732"/>
        <w:gridCol w:w="732"/>
        <w:gridCol w:w="732"/>
        <w:gridCol w:w="732"/>
        <w:gridCol w:w="732"/>
        <w:gridCol w:w="732"/>
        <w:gridCol w:w="732"/>
        <w:gridCol w:w="732"/>
        <w:gridCol w:w="984"/>
      </w:tblGrid>
      <w:tr>
        <w:tblPrEx>
          <w:tblCellMar>
            <w:top w:w="0" w:type="dxa"/>
            <w:left w:w="0" w:type="dxa"/>
            <w:bottom w:w="0" w:type="dxa"/>
            <w:right w:w="0" w:type="dxa"/>
          </w:tblCellMar>
        </w:tblPrEx>
        <w:trPr>
          <w:trHeight w:val="760" w:hRule="atLeast"/>
          <w:jc w:val="center"/>
        </w:trPr>
        <w:tc>
          <w:tcPr>
            <w:tcW w:w="164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专业</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护理</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康复治疗技术</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口腔医学技术</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临床医学</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卫生信息管理</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药学</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医学检验技术</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助产</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口腔医学</w:t>
            </w:r>
          </w:p>
        </w:tc>
        <w:tc>
          <w:tcPr>
            <w:tcW w:w="98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医疗设备应用技术</w:t>
            </w:r>
          </w:p>
        </w:tc>
      </w:tr>
      <w:tr>
        <w:tblPrEx>
          <w:tblCellMar>
            <w:top w:w="0" w:type="dxa"/>
            <w:left w:w="0" w:type="dxa"/>
            <w:bottom w:w="0" w:type="dxa"/>
            <w:right w:w="0" w:type="dxa"/>
          </w:tblCellMar>
        </w:tblPrEx>
        <w:trPr>
          <w:trHeight w:val="5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2019年在校人数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r>
      <w:tr>
        <w:tblPrEx>
          <w:tblCellMar>
            <w:top w:w="0" w:type="dxa"/>
            <w:left w:w="0" w:type="dxa"/>
            <w:bottom w:w="0" w:type="dxa"/>
            <w:right w:w="0"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2019年招生人数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r>
    </w:tbl>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（二）学历继续教育专业调整情况</w:t>
      </w:r>
    </w:p>
    <w:p>
      <w:pPr>
        <w:pStyle w:val="10"/>
        <w:numPr>
          <w:ilvl w:val="0"/>
          <w:numId w:val="2"/>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调整思路。</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我校作为一所医卫类高职院校，为配合学校的转型发展，学历继续教育非医卫类专业一律停招。</w:t>
      </w:r>
    </w:p>
    <w:p>
      <w:pPr>
        <w:pStyle w:val="10"/>
        <w:numPr>
          <w:ilvl w:val="0"/>
          <w:numId w:val="2"/>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调整进展。</w:t>
      </w:r>
    </w:p>
    <w:p>
      <w:pPr>
        <w:spacing w:line="600" w:lineRule="exact"/>
        <w:ind w:left="141" w:leftChars="6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2019年我校学历继续教育专业无新增，2019年我校学历继续教育会计专业停招。</w:t>
      </w:r>
    </w:p>
    <w:p>
      <w:pPr>
        <w:pStyle w:val="10"/>
        <w:numPr>
          <w:ilvl w:val="0"/>
          <w:numId w:val="2"/>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工作成效。</w:t>
      </w:r>
    </w:p>
    <w:p>
      <w:pPr>
        <w:spacing w:line="600" w:lineRule="exact"/>
        <w:ind w:left="316" w:leftChars="-171" w:hanging="675" w:hangingChars="21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2019年学历继续教育专业相较于2018年停招了会计专业，我校学历继续教育再无非医专业，</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我校医卫类高职院校的专业</w:t>
      </w:r>
      <w:r>
        <w:rPr>
          <w:rFonts w:hint="eastAsia" w:ascii="仿宋_GB2312" w:hAnsi="仿宋_GB2312" w:eastAsia="仿宋_GB2312" w:cs="仿宋_GB2312"/>
          <w:sz w:val="32"/>
          <w:szCs w:val="32"/>
          <w:lang w:val="en-US" w:eastAsia="zh-CN"/>
        </w:rPr>
        <w:t>设置布局对接更为紧密，对推进我校学历继续教育专业建设和发展更为有利。</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（三）专业人才培养方案制订及修订情况</w:t>
      </w:r>
    </w:p>
    <w:p>
      <w:pPr>
        <w:spacing w:line="600" w:lineRule="exact"/>
        <w:rPr>
          <w:rFonts w:ascii="仿宋" w:hAnsi="仿宋" w:eastAsia="仿宋" w:cs="楷体_GB2312"/>
          <w:bCs/>
          <w:sz w:val="32"/>
          <w:szCs w:val="32"/>
        </w:rPr>
      </w:pPr>
      <w:r>
        <w:rPr>
          <w:rFonts w:hint="eastAsia" w:ascii="楷体_GB2312" w:hAnsi="楷体_GB2312" w:eastAsia="楷体_GB2312" w:cs="楷体_GB2312"/>
          <w:b/>
          <w:bCs/>
          <w:sz w:val="32"/>
          <w:szCs w:val="32"/>
        </w:rPr>
        <w:t xml:space="preserve">     </w:t>
      </w:r>
      <w:r>
        <w:rPr>
          <w:rFonts w:hint="eastAsia" w:ascii="仿宋" w:hAnsi="仿宋" w:eastAsia="仿宋" w:cs="楷体_GB2312"/>
          <w:bCs/>
          <w:sz w:val="32"/>
          <w:szCs w:val="32"/>
        </w:rPr>
        <w:t>1.人才培养方案制订情况。</w:t>
      </w:r>
    </w:p>
    <w:p>
      <w:pPr>
        <w:spacing w:line="600" w:lineRule="exact"/>
        <w:ind w:firstLine="640" w:firstLineChars="200"/>
        <w:rPr>
          <w:rFonts w:ascii="仿宋_GB2312" w:hAnsi="仿宋_GB2312" w:eastAsia="仿宋_GB2312" w:cs="仿宋_GB2312"/>
          <w:sz w:val="32"/>
          <w:szCs w:val="32"/>
        </w:rPr>
      </w:pPr>
      <w:r>
        <w:rPr>
          <w:rFonts w:hint="eastAsia" w:ascii="仿宋" w:hAnsi="仿宋" w:eastAsia="仿宋" w:cs="仿宋_GB2312"/>
          <w:sz w:val="32"/>
          <w:szCs w:val="32"/>
        </w:rPr>
        <w:t>针对培养对象的不同，制订专业人才培养方案，因材施教，突出特色，在课程设置、教学组织、考核评价等方面进行多样化人才培养模式探索，满足在职从业人员学习需求,确保学历继续教育人才培养达到国家规定的学业标准，保证人才培养质量。</w:t>
      </w:r>
    </w:p>
    <w:p>
      <w:pPr>
        <w:spacing w:line="600" w:lineRule="exact"/>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sz w:val="32"/>
          <w:szCs w:val="32"/>
        </w:rPr>
        <w:t>2.</w:t>
      </w:r>
      <w:r>
        <w:rPr>
          <w:rFonts w:hint="eastAsia" w:ascii="仿宋" w:hAnsi="仿宋" w:eastAsia="仿宋" w:cs="楷体_GB2312"/>
          <w:bCs/>
          <w:sz w:val="32"/>
          <w:szCs w:val="32"/>
        </w:rPr>
        <w:t xml:space="preserve"> </w:t>
      </w:r>
      <w:r>
        <w:rPr>
          <w:rFonts w:hint="eastAsia" w:ascii="仿宋_GB2312" w:hAnsi="仿宋_GB2312" w:eastAsia="仿宋_GB2312" w:cs="仿宋_GB2312"/>
          <w:bCs/>
          <w:sz w:val="32"/>
          <w:szCs w:val="32"/>
        </w:rPr>
        <w:t>人才培养方案调整情况。</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2019年，从培养规格（修业年限，学习形式，总学时学分，毕业及学位要求，人才培养知识、能力和素质要求）、课程体系（课程体系总体框架，课程设置，课程考核）、教学计划进程表（课程类别，课程性质，课程名称，课时，学分，开设学期，教学方式，考核方式）、支持服务能力（师资队伍，教学资源，设施设备）等方面对所有专业的人才培养方案进行了修订。</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三、人才培养</w:t>
      </w:r>
    </w:p>
    <w:p>
      <w:pPr>
        <w:spacing w:line="600" w:lineRule="exact"/>
        <w:ind w:firstLine="643" w:firstLineChars="200"/>
        <w:rPr>
          <w:rFonts w:ascii="仿宋" w:hAnsi="仿宋" w:eastAsia="仿宋" w:cs="Times New Roman"/>
          <w:sz w:val="32"/>
          <w:szCs w:val="32"/>
          <w:u w:val="single"/>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楷体_GB2312" w:hAnsi="楷体_GB2312" w:eastAsia="楷体_GB2312" w:cs="楷体_GB2312"/>
          <w:b/>
          <w:bCs/>
          <w:sz w:val="32"/>
          <w:szCs w:val="32"/>
        </w:rPr>
        <w:t>（一）学历继续教育情况</w:t>
      </w:r>
    </w:p>
    <w:p>
      <w:pPr>
        <w:spacing w:beforeLines="50" w:afterLines="50"/>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1.总体规模</w:t>
      </w:r>
    </w:p>
    <w:p>
      <w:pPr>
        <w:spacing w:beforeLines="50" w:afterLines="50"/>
        <w:jc w:val="center"/>
        <w:rPr>
          <w:sz w:val="30"/>
          <w:szCs w:val="30"/>
        </w:rPr>
      </w:pPr>
      <w:r>
        <w:rPr>
          <w:rFonts w:hint="eastAsia" w:ascii="宋体" w:hAnsi="宋体" w:eastAsia="宋体" w:cs="宋体"/>
          <w:b/>
          <w:color w:val="000000"/>
          <w:kern w:val="0"/>
          <w:sz w:val="30"/>
          <w:szCs w:val="30"/>
        </w:rPr>
        <w:t>在校生情况表1-在校生规模</w:t>
      </w:r>
    </w:p>
    <w:tbl>
      <w:tblPr>
        <w:tblStyle w:val="6"/>
        <w:tblW w:w="14448" w:type="dxa"/>
        <w:tblInd w:w="0" w:type="dxa"/>
        <w:tblLayout w:type="autofit"/>
        <w:tblCellMar>
          <w:top w:w="0" w:type="dxa"/>
          <w:left w:w="0" w:type="dxa"/>
          <w:bottom w:w="0" w:type="dxa"/>
          <w:right w:w="0" w:type="dxa"/>
        </w:tblCellMar>
      </w:tblPr>
      <w:tblGrid>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tblGrid>
      <w:tr>
        <w:tblPrEx>
          <w:tblCellMar>
            <w:top w:w="0" w:type="dxa"/>
            <w:left w:w="0" w:type="dxa"/>
            <w:bottom w:w="0" w:type="dxa"/>
            <w:right w:w="0" w:type="dxa"/>
          </w:tblCellMar>
        </w:tblPrEx>
        <w:trPr>
          <w:trHeight w:val="740" w:hRule="atLeast"/>
        </w:trPr>
        <w:tc>
          <w:tcPr>
            <w:tcW w:w="1032"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教育</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类型</w:t>
            </w:r>
          </w:p>
        </w:tc>
        <w:tc>
          <w:tcPr>
            <w:tcW w:w="1032"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教育</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层次</w:t>
            </w:r>
          </w:p>
        </w:tc>
        <w:tc>
          <w:tcPr>
            <w:tcW w:w="10320" w:type="dxa"/>
            <w:gridSpan w:val="20"/>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专      业</w:t>
            </w:r>
          </w:p>
        </w:tc>
        <w:tc>
          <w:tcPr>
            <w:tcW w:w="2064"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招生范围</w:t>
            </w:r>
          </w:p>
        </w:tc>
      </w:tr>
      <w:tr>
        <w:tblPrEx>
          <w:tblCellMar>
            <w:top w:w="0" w:type="dxa"/>
            <w:left w:w="0" w:type="dxa"/>
            <w:bottom w:w="0" w:type="dxa"/>
            <w:right w:w="0" w:type="dxa"/>
          </w:tblCellMar>
        </w:tblPrEx>
        <w:trPr>
          <w:trHeight w:val="800" w:hRule="atLeast"/>
        </w:trPr>
        <w:tc>
          <w:tcPr>
            <w:tcW w:w="1032"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业余</w:t>
            </w:r>
          </w:p>
        </w:tc>
        <w:tc>
          <w:tcPr>
            <w:tcW w:w="1032"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高起专</w:t>
            </w:r>
          </w:p>
        </w:tc>
        <w:tc>
          <w:tcPr>
            <w:tcW w:w="1032"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助产</w:t>
            </w:r>
          </w:p>
        </w:tc>
        <w:tc>
          <w:tcPr>
            <w:tcW w:w="1032"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工商企业管理</w:t>
            </w:r>
          </w:p>
        </w:tc>
        <w:tc>
          <w:tcPr>
            <w:tcW w:w="1032"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护理</w:t>
            </w:r>
          </w:p>
        </w:tc>
        <w:tc>
          <w:tcPr>
            <w:tcW w:w="1032"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会计</w:t>
            </w:r>
          </w:p>
        </w:tc>
        <w:tc>
          <w:tcPr>
            <w:tcW w:w="1032"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康复治疗技术</w:t>
            </w:r>
          </w:p>
        </w:tc>
        <w:tc>
          <w:tcPr>
            <w:tcW w:w="1032"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口腔医学技术</w:t>
            </w:r>
          </w:p>
        </w:tc>
        <w:tc>
          <w:tcPr>
            <w:tcW w:w="1032"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临床医学</w:t>
            </w:r>
          </w:p>
        </w:tc>
        <w:tc>
          <w:tcPr>
            <w:tcW w:w="1032"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卫生信息管理</w:t>
            </w:r>
          </w:p>
        </w:tc>
        <w:tc>
          <w:tcPr>
            <w:tcW w:w="1032"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药学</w:t>
            </w:r>
          </w:p>
        </w:tc>
        <w:tc>
          <w:tcPr>
            <w:tcW w:w="1032"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医学检验技术</w:t>
            </w:r>
          </w:p>
        </w:tc>
        <w:tc>
          <w:tcPr>
            <w:tcW w:w="1032"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省内</w:t>
            </w:r>
          </w:p>
        </w:tc>
        <w:tc>
          <w:tcPr>
            <w:tcW w:w="1032"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省外</w:t>
            </w:r>
          </w:p>
        </w:tc>
      </w:tr>
      <w:tr>
        <w:tblPrEx>
          <w:tblCellMar>
            <w:top w:w="0" w:type="dxa"/>
            <w:left w:w="0" w:type="dxa"/>
            <w:bottom w:w="0" w:type="dxa"/>
            <w:right w:w="0" w:type="dxa"/>
          </w:tblCellMar>
        </w:tblPrEx>
        <w:trPr>
          <w:trHeight w:val="1460" w:hRule="atLeast"/>
        </w:trPr>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36</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36</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0</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0</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45</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36</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0</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0</w:t>
            </w:r>
          </w:p>
        </w:tc>
      </w:tr>
    </w:tbl>
    <w:p>
      <w:pPr>
        <w:spacing w:beforeLines="50" w:afterLines="50"/>
        <w:jc w:val="center"/>
        <w:rPr>
          <w:rFonts w:ascii="华文中宋" w:hAnsi="华文中宋" w:eastAsia="华文中宋" w:cs="华文中宋"/>
          <w:b/>
          <w:color w:val="000000"/>
          <w:kern w:val="0"/>
          <w:sz w:val="32"/>
          <w:szCs w:val="32"/>
        </w:rPr>
      </w:pPr>
    </w:p>
    <w:p>
      <w:pPr>
        <w:spacing w:beforeLines="50" w:afterLines="50"/>
        <w:jc w:val="center"/>
        <w:rPr>
          <w:rFonts w:ascii="华文中宋" w:hAnsi="华文中宋" w:eastAsia="华文中宋" w:cs="华文中宋"/>
          <w:b/>
          <w:color w:val="000000"/>
          <w:kern w:val="0"/>
          <w:sz w:val="32"/>
          <w:szCs w:val="32"/>
        </w:rPr>
      </w:pPr>
    </w:p>
    <w:p>
      <w:pPr>
        <w:spacing w:beforeLines="50" w:afterLines="50"/>
        <w:jc w:val="center"/>
        <w:rPr>
          <w:rFonts w:ascii="华文中宋" w:hAnsi="华文中宋" w:eastAsia="华文中宋" w:cs="华文中宋"/>
          <w:b/>
          <w:color w:val="000000"/>
          <w:kern w:val="0"/>
          <w:sz w:val="32"/>
          <w:szCs w:val="32"/>
        </w:rPr>
      </w:pPr>
    </w:p>
    <w:p>
      <w:pPr>
        <w:spacing w:beforeLines="50" w:afterLines="50"/>
        <w:jc w:val="center"/>
        <w:rPr>
          <w:rFonts w:ascii="华文中宋" w:hAnsi="华文中宋" w:eastAsia="华文中宋" w:cs="华文中宋"/>
          <w:b/>
          <w:color w:val="000000"/>
          <w:kern w:val="0"/>
          <w:sz w:val="32"/>
          <w:szCs w:val="32"/>
        </w:rPr>
      </w:pPr>
    </w:p>
    <w:p>
      <w:pPr>
        <w:spacing w:beforeLines="50" w:afterLines="50"/>
        <w:jc w:val="center"/>
        <w:rPr>
          <w:rFonts w:hint="eastAsia" w:ascii="华文中宋" w:hAnsi="华文中宋" w:eastAsia="华文中宋" w:cs="华文中宋"/>
          <w:b/>
          <w:color w:val="000000"/>
          <w:kern w:val="0"/>
          <w:sz w:val="32"/>
          <w:szCs w:val="32"/>
        </w:rPr>
      </w:pPr>
    </w:p>
    <w:p>
      <w:pPr>
        <w:spacing w:beforeLines="50" w:afterLines="50"/>
        <w:jc w:val="center"/>
        <w:rPr>
          <w:rFonts w:ascii="华文中宋" w:hAnsi="华文中宋" w:eastAsia="华文中宋" w:cs="华文中宋"/>
          <w:b/>
          <w:color w:val="000000"/>
          <w:kern w:val="0"/>
          <w:sz w:val="32"/>
          <w:szCs w:val="32"/>
        </w:rPr>
      </w:pPr>
    </w:p>
    <w:p>
      <w:pPr>
        <w:spacing w:beforeLines="50" w:afterLines="50"/>
        <w:jc w:val="center"/>
        <w:rPr>
          <w:rFonts w:ascii="华文中宋" w:hAnsi="华文中宋" w:eastAsia="华文中宋" w:cs="华文中宋"/>
          <w:b/>
          <w:color w:val="000000"/>
          <w:kern w:val="0"/>
          <w:sz w:val="32"/>
          <w:szCs w:val="32"/>
        </w:rPr>
      </w:pPr>
    </w:p>
    <w:p>
      <w:pPr>
        <w:spacing w:beforeLines="50" w:afterLines="50"/>
        <w:jc w:val="center"/>
        <w:rPr>
          <w:rFonts w:ascii="华文中宋" w:hAnsi="华文中宋" w:eastAsia="华文中宋" w:cs="华文中宋"/>
          <w:b/>
          <w:color w:val="000000"/>
          <w:kern w:val="0"/>
          <w:sz w:val="32"/>
          <w:szCs w:val="32"/>
        </w:rPr>
      </w:pPr>
    </w:p>
    <w:tbl>
      <w:tblPr>
        <w:tblStyle w:val="6"/>
        <w:tblW w:w="11085" w:type="dxa"/>
        <w:jc w:val="center"/>
        <w:tblLayout w:type="fixed"/>
        <w:tblCellMar>
          <w:top w:w="0" w:type="dxa"/>
          <w:left w:w="0" w:type="dxa"/>
          <w:bottom w:w="0" w:type="dxa"/>
          <w:right w:w="0" w:type="dxa"/>
        </w:tblCellMar>
      </w:tblPr>
      <w:tblGrid>
        <w:gridCol w:w="3739"/>
        <w:gridCol w:w="2016"/>
        <w:gridCol w:w="2487"/>
        <w:gridCol w:w="2843"/>
      </w:tblGrid>
      <w:tr>
        <w:tblPrEx>
          <w:tblCellMar>
            <w:top w:w="0" w:type="dxa"/>
            <w:left w:w="0" w:type="dxa"/>
            <w:bottom w:w="0" w:type="dxa"/>
            <w:right w:w="0" w:type="dxa"/>
          </w:tblCellMar>
        </w:tblPrEx>
        <w:trPr>
          <w:trHeight w:val="466" w:hRule="atLeast"/>
          <w:jc w:val="center"/>
        </w:trPr>
        <w:tc>
          <w:tcPr>
            <w:tcW w:w="11080" w:type="dxa"/>
            <w:gridSpan w:val="4"/>
            <w:noWrap/>
            <w:tcMar>
              <w:top w:w="12" w:type="dxa"/>
              <w:left w:w="12" w:type="dxa"/>
              <w:bottom w:w="0" w:type="dxa"/>
              <w:right w:w="12" w:type="dxa"/>
            </w:tcMar>
            <w:vAlign w:val="center"/>
          </w:tcPr>
          <w:p>
            <w:pPr>
              <w:widowControl/>
              <w:jc w:val="center"/>
              <w:textAlignment w:val="center"/>
              <w:rPr>
                <w:rFonts w:ascii="华文中宋" w:hAnsi="华文中宋" w:eastAsia="华文中宋" w:cs="华文中宋"/>
                <w:b/>
                <w:color w:val="000000"/>
                <w:sz w:val="28"/>
                <w:szCs w:val="28"/>
              </w:rPr>
            </w:pPr>
            <w:r>
              <w:rPr>
                <w:rFonts w:hint="eastAsia" w:ascii="华文中宋" w:hAnsi="华文中宋" w:eastAsia="华文中宋" w:cs="华文中宋"/>
                <w:b/>
                <w:color w:val="000000"/>
                <w:kern w:val="0"/>
                <w:sz w:val="28"/>
                <w:szCs w:val="28"/>
              </w:rPr>
              <w:t>在校生情况表2-专业情况对比表</w:t>
            </w:r>
          </w:p>
        </w:tc>
      </w:tr>
      <w:tr>
        <w:tblPrEx>
          <w:tblCellMar>
            <w:top w:w="0" w:type="dxa"/>
            <w:left w:w="0" w:type="dxa"/>
            <w:bottom w:w="0" w:type="dxa"/>
            <w:right w:w="0" w:type="dxa"/>
          </w:tblCellMar>
        </w:tblPrEx>
        <w:trPr>
          <w:trHeight w:val="930" w:hRule="atLeast"/>
          <w:jc w:val="center"/>
        </w:trPr>
        <w:tc>
          <w:tcPr>
            <w:tcW w:w="3737"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学校名称</w:t>
            </w:r>
          </w:p>
        </w:tc>
        <w:tc>
          <w:tcPr>
            <w:tcW w:w="201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专业名称</w:t>
            </w:r>
          </w:p>
        </w:tc>
        <w:tc>
          <w:tcPr>
            <w:tcW w:w="248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2019年全日制教育</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在校生人数</w:t>
            </w:r>
          </w:p>
        </w:tc>
        <w:tc>
          <w:tcPr>
            <w:tcW w:w="284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2019年继续教育</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在校生人数</w:t>
            </w:r>
          </w:p>
        </w:tc>
      </w:tr>
      <w:tr>
        <w:tblPrEx>
          <w:tblCellMar>
            <w:top w:w="0" w:type="dxa"/>
            <w:left w:w="0" w:type="dxa"/>
            <w:bottom w:w="0" w:type="dxa"/>
            <w:right w:w="0" w:type="dxa"/>
          </w:tblCellMar>
        </w:tblPrEx>
        <w:trPr>
          <w:trHeight w:val="473" w:hRule="atLeast"/>
          <w:jc w:val="center"/>
        </w:trPr>
        <w:tc>
          <w:tcPr>
            <w:tcW w:w="3737" w:type="dxa"/>
            <w:vMerge w:val="restar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湘潭医卫职业技术学院</w:t>
            </w:r>
          </w:p>
        </w:tc>
        <w:tc>
          <w:tcPr>
            <w:tcW w:w="201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护理</w:t>
            </w:r>
          </w:p>
        </w:tc>
        <w:tc>
          <w:tcPr>
            <w:tcW w:w="248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3365</w:t>
            </w:r>
          </w:p>
        </w:tc>
        <w:tc>
          <w:tcPr>
            <w:tcW w:w="284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r>
      <w:tr>
        <w:tblPrEx>
          <w:tblCellMar>
            <w:top w:w="0" w:type="dxa"/>
            <w:left w:w="0" w:type="dxa"/>
            <w:bottom w:w="0" w:type="dxa"/>
            <w:right w:w="0" w:type="dxa"/>
          </w:tblCellMar>
        </w:tblPrEx>
        <w:trPr>
          <w:trHeight w:val="473" w:hRule="atLeast"/>
          <w:jc w:val="center"/>
        </w:trPr>
        <w:tc>
          <w:tcPr>
            <w:tcW w:w="1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会计</w:t>
            </w:r>
          </w:p>
        </w:tc>
        <w:tc>
          <w:tcPr>
            <w:tcW w:w="248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68</w:t>
            </w:r>
          </w:p>
        </w:tc>
        <w:tc>
          <w:tcPr>
            <w:tcW w:w="284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r>
      <w:tr>
        <w:tblPrEx>
          <w:tblCellMar>
            <w:top w:w="0" w:type="dxa"/>
            <w:left w:w="0" w:type="dxa"/>
            <w:bottom w:w="0" w:type="dxa"/>
            <w:right w:w="0" w:type="dxa"/>
          </w:tblCellMar>
        </w:tblPrEx>
        <w:trPr>
          <w:trHeight w:val="473" w:hRule="atLeast"/>
          <w:jc w:val="center"/>
        </w:trPr>
        <w:tc>
          <w:tcPr>
            <w:tcW w:w="1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康复治疗技术</w:t>
            </w:r>
          </w:p>
        </w:tc>
        <w:tc>
          <w:tcPr>
            <w:tcW w:w="248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557</w:t>
            </w:r>
          </w:p>
        </w:tc>
        <w:tc>
          <w:tcPr>
            <w:tcW w:w="284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45</w:t>
            </w:r>
          </w:p>
        </w:tc>
      </w:tr>
      <w:tr>
        <w:tblPrEx>
          <w:tblCellMar>
            <w:top w:w="0" w:type="dxa"/>
            <w:left w:w="0" w:type="dxa"/>
            <w:bottom w:w="0" w:type="dxa"/>
            <w:right w:w="0" w:type="dxa"/>
          </w:tblCellMar>
        </w:tblPrEx>
        <w:trPr>
          <w:trHeight w:val="473" w:hRule="atLeast"/>
          <w:jc w:val="center"/>
        </w:trPr>
        <w:tc>
          <w:tcPr>
            <w:tcW w:w="1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口腔医学技术</w:t>
            </w:r>
          </w:p>
        </w:tc>
        <w:tc>
          <w:tcPr>
            <w:tcW w:w="248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236</w:t>
            </w:r>
          </w:p>
        </w:tc>
        <w:tc>
          <w:tcPr>
            <w:tcW w:w="284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p>
        </w:tc>
      </w:tr>
      <w:tr>
        <w:tblPrEx>
          <w:tblCellMar>
            <w:top w:w="0" w:type="dxa"/>
            <w:left w:w="0" w:type="dxa"/>
            <w:bottom w:w="0" w:type="dxa"/>
            <w:right w:w="0" w:type="dxa"/>
          </w:tblCellMar>
        </w:tblPrEx>
        <w:trPr>
          <w:trHeight w:val="473" w:hRule="atLeast"/>
          <w:jc w:val="center"/>
        </w:trPr>
        <w:tc>
          <w:tcPr>
            <w:tcW w:w="1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临床医学</w:t>
            </w:r>
          </w:p>
        </w:tc>
        <w:tc>
          <w:tcPr>
            <w:tcW w:w="248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998</w:t>
            </w:r>
          </w:p>
        </w:tc>
        <w:tc>
          <w:tcPr>
            <w:tcW w:w="284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r>
      <w:tr>
        <w:tblPrEx>
          <w:tblCellMar>
            <w:top w:w="0" w:type="dxa"/>
            <w:left w:w="0" w:type="dxa"/>
            <w:bottom w:w="0" w:type="dxa"/>
            <w:right w:w="0" w:type="dxa"/>
          </w:tblCellMar>
        </w:tblPrEx>
        <w:trPr>
          <w:trHeight w:val="473" w:hRule="atLeast"/>
          <w:jc w:val="center"/>
        </w:trPr>
        <w:tc>
          <w:tcPr>
            <w:tcW w:w="1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卫生信息管理</w:t>
            </w:r>
          </w:p>
        </w:tc>
        <w:tc>
          <w:tcPr>
            <w:tcW w:w="248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76</w:t>
            </w:r>
          </w:p>
        </w:tc>
        <w:tc>
          <w:tcPr>
            <w:tcW w:w="284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CellMar>
            <w:top w:w="0" w:type="dxa"/>
            <w:left w:w="0" w:type="dxa"/>
            <w:bottom w:w="0" w:type="dxa"/>
            <w:right w:w="0" w:type="dxa"/>
          </w:tblCellMar>
        </w:tblPrEx>
        <w:trPr>
          <w:trHeight w:val="473" w:hRule="atLeast"/>
          <w:jc w:val="center"/>
        </w:trPr>
        <w:tc>
          <w:tcPr>
            <w:tcW w:w="1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药学</w:t>
            </w:r>
          </w:p>
        </w:tc>
        <w:tc>
          <w:tcPr>
            <w:tcW w:w="248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1039</w:t>
            </w:r>
          </w:p>
        </w:tc>
        <w:tc>
          <w:tcPr>
            <w:tcW w:w="284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110</w:t>
            </w:r>
          </w:p>
        </w:tc>
      </w:tr>
      <w:tr>
        <w:tblPrEx>
          <w:tblCellMar>
            <w:top w:w="0" w:type="dxa"/>
            <w:left w:w="0" w:type="dxa"/>
            <w:bottom w:w="0" w:type="dxa"/>
            <w:right w:w="0" w:type="dxa"/>
          </w:tblCellMar>
        </w:tblPrEx>
        <w:trPr>
          <w:trHeight w:val="473" w:hRule="atLeast"/>
          <w:jc w:val="center"/>
        </w:trPr>
        <w:tc>
          <w:tcPr>
            <w:tcW w:w="1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医学检验技术</w:t>
            </w:r>
          </w:p>
        </w:tc>
        <w:tc>
          <w:tcPr>
            <w:tcW w:w="2486"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1090</w:t>
            </w:r>
          </w:p>
        </w:tc>
        <w:tc>
          <w:tcPr>
            <w:tcW w:w="284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r>
      <w:tr>
        <w:tblPrEx>
          <w:tblCellMar>
            <w:top w:w="0" w:type="dxa"/>
            <w:left w:w="0" w:type="dxa"/>
            <w:bottom w:w="0" w:type="dxa"/>
            <w:right w:w="0" w:type="dxa"/>
          </w:tblCellMar>
        </w:tblPrEx>
        <w:trPr>
          <w:trHeight w:val="480" w:hRule="atLeast"/>
          <w:jc w:val="center"/>
        </w:trPr>
        <w:tc>
          <w:tcPr>
            <w:tcW w:w="3737"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合计</w:t>
            </w:r>
          </w:p>
        </w:tc>
        <w:tc>
          <w:tcPr>
            <w:tcW w:w="201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rPr>
                <w:rFonts w:ascii="宋体" w:hAnsi="宋体" w:eastAsia="宋体" w:cs="宋体"/>
                <w:color w:val="000000"/>
                <w:sz w:val="22"/>
              </w:rPr>
            </w:pPr>
          </w:p>
        </w:tc>
        <w:tc>
          <w:tcPr>
            <w:tcW w:w="2486"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rPr>
                <w:rFonts w:ascii="仿宋" w:hAnsi="仿宋" w:eastAsia="仿宋" w:cs="宋体"/>
                <w:color w:val="000000"/>
                <w:sz w:val="28"/>
                <w:szCs w:val="28"/>
              </w:rPr>
            </w:pPr>
            <w:r>
              <w:rPr>
                <w:rFonts w:hint="eastAsia" w:ascii="仿宋" w:hAnsi="仿宋" w:eastAsia="仿宋" w:cs="宋体"/>
                <w:color w:val="000000"/>
                <w:sz w:val="28"/>
                <w:szCs w:val="28"/>
              </w:rPr>
              <w:t>7429</w:t>
            </w:r>
          </w:p>
        </w:tc>
        <w:tc>
          <w:tcPr>
            <w:tcW w:w="284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186</w:t>
            </w:r>
          </w:p>
        </w:tc>
      </w:tr>
    </w:tbl>
    <w:p>
      <w:pPr>
        <w:spacing w:beforeLines="50" w:afterLines="50"/>
        <w:jc w:val="center"/>
        <w:rPr>
          <w:rFonts w:ascii="华文中宋" w:hAnsi="华文中宋" w:eastAsia="华文中宋" w:cs="华文中宋"/>
          <w:color w:val="000000"/>
          <w:kern w:val="0"/>
          <w:sz w:val="32"/>
          <w:szCs w:val="32"/>
        </w:rPr>
      </w:pPr>
    </w:p>
    <w:p>
      <w:pP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br w:type="page"/>
      </w:r>
    </w:p>
    <w:p>
      <w:pPr>
        <w:rPr>
          <w:rFonts w:ascii="华文中宋" w:hAnsi="华文中宋" w:eastAsia="华文中宋" w:cs="华文中宋"/>
          <w:color w:val="000000"/>
          <w:kern w:val="0"/>
          <w:sz w:val="32"/>
          <w:szCs w:val="32"/>
        </w:rPr>
      </w:pPr>
    </w:p>
    <w:p>
      <w:pPr>
        <w:rPr>
          <w:rFonts w:ascii="仿宋" w:hAnsi="仿宋" w:eastAsia="仿宋" w:cs="Times New Roman"/>
          <w:sz w:val="32"/>
          <w:szCs w:val="32"/>
        </w:rPr>
      </w:pPr>
    </w:p>
    <w:tbl>
      <w:tblPr>
        <w:tblStyle w:val="6"/>
        <w:tblW w:w="14977" w:type="dxa"/>
        <w:jc w:val="center"/>
        <w:tblLayout w:type="autofit"/>
        <w:tblCellMar>
          <w:top w:w="0" w:type="dxa"/>
          <w:left w:w="0" w:type="dxa"/>
          <w:bottom w:w="0" w:type="dxa"/>
          <w:right w:w="0" w:type="dxa"/>
        </w:tblCellMar>
      </w:tblPr>
      <w:tblGrid>
        <w:gridCol w:w="625"/>
        <w:gridCol w:w="624"/>
        <w:gridCol w:w="624"/>
        <w:gridCol w:w="624"/>
        <w:gridCol w:w="624"/>
        <w:gridCol w:w="35"/>
        <w:gridCol w:w="589"/>
        <w:gridCol w:w="624"/>
        <w:gridCol w:w="624"/>
        <w:gridCol w:w="155"/>
        <w:gridCol w:w="469"/>
        <w:gridCol w:w="624"/>
        <w:gridCol w:w="624"/>
        <w:gridCol w:w="624"/>
        <w:gridCol w:w="71"/>
        <w:gridCol w:w="553"/>
        <w:gridCol w:w="624"/>
        <w:gridCol w:w="624"/>
        <w:gridCol w:w="455"/>
        <w:gridCol w:w="169"/>
        <w:gridCol w:w="624"/>
        <w:gridCol w:w="624"/>
        <w:gridCol w:w="624"/>
        <w:gridCol w:w="624"/>
        <w:gridCol w:w="624"/>
        <w:gridCol w:w="624"/>
        <w:gridCol w:w="624"/>
        <w:gridCol w:w="624"/>
      </w:tblGrid>
      <w:tr>
        <w:tblPrEx>
          <w:tblCellMar>
            <w:top w:w="0" w:type="dxa"/>
            <w:left w:w="0" w:type="dxa"/>
            <w:bottom w:w="0" w:type="dxa"/>
            <w:right w:w="0" w:type="dxa"/>
          </w:tblCellMar>
        </w:tblPrEx>
        <w:trPr>
          <w:trHeight w:val="348" w:hRule="atLeast"/>
          <w:jc w:val="center"/>
        </w:trPr>
        <w:tc>
          <w:tcPr>
            <w:tcW w:w="14977" w:type="dxa"/>
            <w:gridSpan w:val="28"/>
            <w:noWrap/>
            <w:tcMar>
              <w:top w:w="12" w:type="dxa"/>
              <w:left w:w="12" w:type="dxa"/>
              <w:bottom w:w="0" w:type="dxa"/>
              <w:right w:w="12"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招生情况表1-招生规模</w:t>
            </w:r>
          </w:p>
        </w:tc>
      </w:tr>
      <w:tr>
        <w:tblPrEx>
          <w:tblCellMar>
            <w:top w:w="0" w:type="dxa"/>
            <w:left w:w="0" w:type="dxa"/>
            <w:bottom w:w="0" w:type="dxa"/>
            <w:right w:w="0" w:type="dxa"/>
          </w:tblCellMar>
        </w:tblPrEx>
        <w:trPr>
          <w:trHeight w:val="348" w:hRule="atLeast"/>
          <w:jc w:val="center"/>
        </w:trPr>
        <w:tc>
          <w:tcPr>
            <w:tcW w:w="1249"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教育类型</w:t>
            </w:r>
          </w:p>
        </w:tc>
        <w:tc>
          <w:tcPr>
            <w:tcW w:w="1248"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教育层次</w:t>
            </w:r>
          </w:p>
        </w:tc>
        <w:tc>
          <w:tcPr>
            <w:tcW w:w="9984" w:type="dxa"/>
            <w:gridSpan w:val="20"/>
            <w:tcBorders>
              <w:top w:val="single" w:color="000000" w:sz="4" w:space="0"/>
              <w:left w:val="nil"/>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专   业</w:t>
            </w:r>
          </w:p>
        </w:tc>
        <w:tc>
          <w:tcPr>
            <w:tcW w:w="2496"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招生范围</w:t>
            </w:r>
          </w:p>
        </w:tc>
      </w:tr>
      <w:tr>
        <w:tblPrEx>
          <w:tblCellMar>
            <w:top w:w="0" w:type="dxa"/>
            <w:left w:w="0" w:type="dxa"/>
            <w:bottom w:w="0" w:type="dxa"/>
            <w:right w:w="0" w:type="dxa"/>
          </w:tblCellMar>
        </w:tblPrEx>
        <w:trPr>
          <w:trHeight w:val="348" w:hRule="atLeast"/>
          <w:jc w:val="center"/>
        </w:trPr>
        <w:tc>
          <w:tcPr>
            <w:tcW w:w="1249"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业余</w:t>
            </w:r>
          </w:p>
        </w:tc>
        <w:tc>
          <w:tcPr>
            <w:tcW w:w="1248"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高起专</w:t>
            </w:r>
          </w:p>
        </w:tc>
        <w:tc>
          <w:tcPr>
            <w:tcW w:w="1248" w:type="dxa"/>
            <w:gridSpan w:val="3"/>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护理</w:t>
            </w:r>
          </w:p>
        </w:tc>
        <w:tc>
          <w:tcPr>
            <w:tcW w:w="1248"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会计</w:t>
            </w:r>
          </w:p>
        </w:tc>
        <w:tc>
          <w:tcPr>
            <w:tcW w:w="1248" w:type="dxa"/>
            <w:gridSpan w:val="3"/>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康复治疗技术</w:t>
            </w:r>
          </w:p>
        </w:tc>
        <w:tc>
          <w:tcPr>
            <w:tcW w:w="1248"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口腔医学技术</w:t>
            </w:r>
          </w:p>
        </w:tc>
        <w:tc>
          <w:tcPr>
            <w:tcW w:w="1248" w:type="dxa"/>
            <w:gridSpan w:val="3"/>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临床医学</w:t>
            </w:r>
          </w:p>
        </w:tc>
        <w:tc>
          <w:tcPr>
            <w:tcW w:w="1248" w:type="dxa"/>
            <w:gridSpan w:val="3"/>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卫生信息管理</w:t>
            </w:r>
          </w:p>
        </w:tc>
        <w:tc>
          <w:tcPr>
            <w:tcW w:w="1248"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药学</w:t>
            </w:r>
          </w:p>
        </w:tc>
        <w:tc>
          <w:tcPr>
            <w:tcW w:w="1248" w:type="dxa"/>
            <w:gridSpan w:val="2"/>
            <w:tcBorders>
              <w:top w:val="single" w:color="000000" w:sz="4" w:space="0"/>
              <w:left w:val="single" w:color="000000" w:sz="4" w:space="0"/>
              <w:bottom w:val="single" w:color="000000" w:sz="4" w:space="0"/>
              <w:right w:val="nil"/>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医学检验技术</w:t>
            </w:r>
          </w:p>
        </w:tc>
        <w:tc>
          <w:tcPr>
            <w:tcW w:w="1248"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省内</w:t>
            </w:r>
          </w:p>
        </w:tc>
        <w:tc>
          <w:tcPr>
            <w:tcW w:w="1248"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省外</w:t>
            </w:r>
          </w:p>
        </w:tc>
      </w:tr>
      <w:tr>
        <w:tblPrEx>
          <w:tblCellMar>
            <w:top w:w="0" w:type="dxa"/>
            <w:left w:w="0" w:type="dxa"/>
            <w:bottom w:w="0" w:type="dxa"/>
            <w:right w:w="0" w:type="dxa"/>
          </w:tblCellMar>
        </w:tblPrEx>
        <w:trPr>
          <w:trHeight w:val="696" w:hRule="atLeast"/>
          <w:jc w:val="center"/>
        </w:trPr>
        <w:tc>
          <w:tcPr>
            <w:tcW w:w="62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624"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624"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624"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624" w:type="dxa"/>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18年人数</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19年人数</w:t>
            </w:r>
          </w:p>
        </w:tc>
      </w:tr>
      <w:tr>
        <w:tblPrEx>
          <w:tblCellMar>
            <w:top w:w="0" w:type="dxa"/>
            <w:left w:w="0" w:type="dxa"/>
            <w:bottom w:w="0" w:type="dxa"/>
            <w:right w:w="0" w:type="dxa"/>
          </w:tblCellMar>
        </w:tblPrEx>
        <w:trPr>
          <w:trHeight w:val="34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33</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33</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43</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93</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33</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0</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0</w:t>
            </w:r>
          </w:p>
        </w:tc>
      </w:tr>
      <w:tr>
        <w:tblPrEx>
          <w:tblCellMar>
            <w:top w:w="0" w:type="dxa"/>
            <w:left w:w="0" w:type="dxa"/>
            <w:bottom w:w="0" w:type="dxa"/>
            <w:right w:w="0" w:type="dxa"/>
          </w:tblCellMar>
        </w:tblPrEx>
        <w:trPr>
          <w:gridAfter w:val="9"/>
          <w:wAfter w:w="5161" w:type="dxa"/>
          <w:trHeight w:val="720" w:hRule="atLeast"/>
          <w:jc w:val="center"/>
        </w:trPr>
        <w:tc>
          <w:tcPr>
            <w:tcW w:w="9816" w:type="dxa"/>
            <w:gridSpan w:val="19"/>
            <w:noWrap/>
            <w:tcMar>
              <w:top w:w="12" w:type="dxa"/>
              <w:left w:w="12" w:type="dxa"/>
              <w:bottom w:w="0" w:type="dxa"/>
              <w:right w:w="12" w:type="dxa"/>
            </w:tcMar>
            <w:vAlign w:val="center"/>
          </w:tcPr>
          <w:p>
            <w:pPr>
              <w:widowControl/>
              <w:jc w:val="center"/>
              <w:textAlignment w:val="center"/>
              <w:rPr>
                <w:rFonts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 xml:space="preserve">           </w:t>
            </w:r>
          </w:p>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color w:val="000000"/>
                <w:kern w:val="0"/>
                <w:sz w:val="28"/>
                <w:szCs w:val="28"/>
              </w:rPr>
              <w:t xml:space="preserve"> 招生情况表2-专业情况对比表</w:t>
            </w:r>
          </w:p>
        </w:tc>
      </w:tr>
      <w:tr>
        <w:tblPrEx>
          <w:tblCellMar>
            <w:top w:w="0" w:type="dxa"/>
            <w:left w:w="0" w:type="dxa"/>
            <w:bottom w:w="0" w:type="dxa"/>
            <w:right w:w="0" w:type="dxa"/>
          </w:tblCellMar>
        </w:tblPrEx>
        <w:trPr>
          <w:gridAfter w:val="9"/>
          <w:wAfter w:w="5161" w:type="dxa"/>
          <w:trHeight w:val="696" w:hRule="atLeast"/>
          <w:jc w:val="center"/>
        </w:trPr>
        <w:tc>
          <w:tcPr>
            <w:tcW w:w="3156" w:type="dxa"/>
            <w:gridSpan w:val="6"/>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学校名称</w:t>
            </w:r>
          </w:p>
        </w:tc>
        <w:tc>
          <w:tcPr>
            <w:tcW w:w="1992"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专业名称</w:t>
            </w:r>
          </w:p>
        </w:tc>
        <w:tc>
          <w:tcPr>
            <w:tcW w:w="2412" w:type="dxa"/>
            <w:gridSpan w:val="5"/>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2019年全日制教育招生人数</w:t>
            </w:r>
          </w:p>
        </w:tc>
        <w:tc>
          <w:tcPr>
            <w:tcW w:w="2256"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2019年继续教育招生人数</w:t>
            </w:r>
          </w:p>
        </w:tc>
      </w:tr>
      <w:tr>
        <w:tblPrEx>
          <w:tblCellMar>
            <w:top w:w="0" w:type="dxa"/>
            <w:left w:w="0" w:type="dxa"/>
            <w:bottom w:w="0" w:type="dxa"/>
            <w:right w:w="0" w:type="dxa"/>
          </w:tblCellMar>
        </w:tblPrEx>
        <w:trPr>
          <w:gridAfter w:val="9"/>
          <w:wAfter w:w="5161" w:type="dxa"/>
          <w:trHeight w:val="420" w:hRule="atLeast"/>
          <w:jc w:val="center"/>
        </w:trPr>
        <w:tc>
          <w:tcPr>
            <w:tcW w:w="3156" w:type="dxa"/>
            <w:gridSpan w:val="6"/>
            <w:vMerge w:val="restar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湘潭医卫职业技术学院</w:t>
            </w:r>
          </w:p>
        </w:tc>
        <w:tc>
          <w:tcPr>
            <w:tcW w:w="1992"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护理</w:t>
            </w:r>
          </w:p>
        </w:tc>
        <w:tc>
          <w:tcPr>
            <w:tcW w:w="2412" w:type="dxa"/>
            <w:gridSpan w:val="5"/>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1176</w:t>
            </w:r>
          </w:p>
        </w:tc>
        <w:tc>
          <w:tcPr>
            <w:tcW w:w="2256"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CellMar>
            <w:top w:w="0" w:type="dxa"/>
            <w:left w:w="0" w:type="dxa"/>
            <w:bottom w:w="0" w:type="dxa"/>
            <w:right w:w="0" w:type="dxa"/>
          </w:tblCellMar>
        </w:tblPrEx>
        <w:trPr>
          <w:gridAfter w:val="9"/>
          <w:wAfter w:w="5161" w:type="dxa"/>
          <w:trHeight w:val="348" w:hRule="atLeast"/>
          <w:jc w:val="center"/>
        </w:trPr>
        <w:tc>
          <w:tcPr>
            <w:tcW w:w="0" w:type="auto"/>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1992"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康复治疗技术</w:t>
            </w:r>
          </w:p>
        </w:tc>
        <w:tc>
          <w:tcPr>
            <w:tcW w:w="2412" w:type="dxa"/>
            <w:gridSpan w:val="5"/>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227</w:t>
            </w:r>
          </w:p>
        </w:tc>
        <w:tc>
          <w:tcPr>
            <w:tcW w:w="2256"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43</w:t>
            </w:r>
          </w:p>
        </w:tc>
      </w:tr>
      <w:tr>
        <w:tblPrEx>
          <w:tblCellMar>
            <w:top w:w="0" w:type="dxa"/>
            <w:left w:w="0" w:type="dxa"/>
            <w:bottom w:w="0" w:type="dxa"/>
            <w:right w:w="0" w:type="dxa"/>
          </w:tblCellMar>
        </w:tblPrEx>
        <w:trPr>
          <w:gridAfter w:val="9"/>
          <w:wAfter w:w="5161" w:type="dxa"/>
          <w:trHeight w:val="348" w:hRule="atLeast"/>
          <w:jc w:val="center"/>
        </w:trPr>
        <w:tc>
          <w:tcPr>
            <w:tcW w:w="0" w:type="auto"/>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1992"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口腔医学技术</w:t>
            </w:r>
          </w:p>
        </w:tc>
        <w:tc>
          <w:tcPr>
            <w:tcW w:w="2412" w:type="dxa"/>
            <w:gridSpan w:val="5"/>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109</w:t>
            </w:r>
          </w:p>
        </w:tc>
        <w:tc>
          <w:tcPr>
            <w:tcW w:w="2256"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r>
      <w:tr>
        <w:tblPrEx>
          <w:tblCellMar>
            <w:top w:w="0" w:type="dxa"/>
            <w:left w:w="0" w:type="dxa"/>
            <w:bottom w:w="0" w:type="dxa"/>
            <w:right w:w="0" w:type="dxa"/>
          </w:tblCellMar>
        </w:tblPrEx>
        <w:trPr>
          <w:gridAfter w:val="9"/>
          <w:wAfter w:w="5161" w:type="dxa"/>
          <w:trHeight w:val="348" w:hRule="atLeast"/>
          <w:jc w:val="center"/>
        </w:trPr>
        <w:tc>
          <w:tcPr>
            <w:tcW w:w="0" w:type="auto"/>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1992"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临床医学</w:t>
            </w:r>
          </w:p>
        </w:tc>
        <w:tc>
          <w:tcPr>
            <w:tcW w:w="2412" w:type="dxa"/>
            <w:gridSpan w:val="5"/>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519</w:t>
            </w:r>
          </w:p>
        </w:tc>
        <w:tc>
          <w:tcPr>
            <w:tcW w:w="2256"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r>
      <w:tr>
        <w:tblPrEx>
          <w:tblCellMar>
            <w:top w:w="0" w:type="dxa"/>
            <w:left w:w="0" w:type="dxa"/>
            <w:bottom w:w="0" w:type="dxa"/>
            <w:right w:w="0" w:type="dxa"/>
          </w:tblCellMar>
        </w:tblPrEx>
        <w:trPr>
          <w:gridAfter w:val="9"/>
          <w:wAfter w:w="5161" w:type="dxa"/>
          <w:trHeight w:val="348" w:hRule="atLeast"/>
          <w:jc w:val="center"/>
        </w:trPr>
        <w:tc>
          <w:tcPr>
            <w:tcW w:w="0" w:type="auto"/>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1992"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卫生信息管理</w:t>
            </w:r>
          </w:p>
        </w:tc>
        <w:tc>
          <w:tcPr>
            <w:tcW w:w="2412" w:type="dxa"/>
            <w:gridSpan w:val="5"/>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45</w:t>
            </w:r>
          </w:p>
        </w:tc>
        <w:tc>
          <w:tcPr>
            <w:tcW w:w="2256"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CellMar>
            <w:top w:w="0" w:type="dxa"/>
            <w:left w:w="0" w:type="dxa"/>
            <w:bottom w:w="0" w:type="dxa"/>
            <w:right w:w="0" w:type="dxa"/>
          </w:tblCellMar>
        </w:tblPrEx>
        <w:trPr>
          <w:gridAfter w:val="9"/>
          <w:wAfter w:w="5161" w:type="dxa"/>
          <w:trHeight w:val="348" w:hRule="atLeast"/>
          <w:jc w:val="center"/>
        </w:trPr>
        <w:tc>
          <w:tcPr>
            <w:tcW w:w="0" w:type="auto"/>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1992"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药学</w:t>
            </w:r>
          </w:p>
        </w:tc>
        <w:tc>
          <w:tcPr>
            <w:tcW w:w="2412" w:type="dxa"/>
            <w:gridSpan w:val="5"/>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411</w:t>
            </w:r>
          </w:p>
        </w:tc>
        <w:tc>
          <w:tcPr>
            <w:tcW w:w="2256"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93</w:t>
            </w:r>
          </w:p>
        </w:tc>
      </w:tr>
      <w:tr>
        <w:tblPrEx>
          <w:tblCellMar>
            <w:top w:w="0" w:type="dxa"/>
            <w:left w:w="0" w:type="dxa"/>
            <w:bottom w:w="0" w:type="dxa"/>
            <w:right w:w="0" w:type="dxa"/>
          </w:tblCellMar>
        </w:tblPrEx>
        <w:trPr>
          <w:gridAfter w:val="9"/>
          <w:wAfter w:w="5161" w:type="dxa"/>
          <w:trHeight w:val="348" w:hRule="atLeast"/>
          <w:jc w:val="center"/>
        </w:trPr>
        <w:tc>
          <w:tcPr>
            <w:tcW w:w="0" w:type="auto"/>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8"/>
                <w:szCs w:val="28"/>
              </w:rPr>
            </w:pPr>
          </w:p>
        </w:tc>
        <w:tc>
          <w:tcPr>
            <w:tcW w:w="1992"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医学检验技术</w:t>
            </w:r>
          </w:p>
        </w:tc>
        <w:tc>
          <w:tcPr>
            <w:tcW w:w="2412" w:type="dxa"/>
            <w:gridSpan w:val="5"/>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414</w:t>
            </w:r>
          </w:p>
        </w:tc>
        <w:tc>
          <w:tcPr>
            <w:tcW w:w="2256"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CellMar>
            <w:top w:w="0" w:type="dxa"/>
            <w:left w:w="0" w:type="dxa"/>
            <w:bottom w:w="0" w:type="dxa"/>
            <w:right w:w="0" w:type="dxa"/>
          </w:tblCellMar>
        </w:tblPrEx>
        <w:trPr>
          <w:gridAfter w:val="9"/>
          <w:wAfter w:w="5161" w:type="dxa"/>
          <w:trHeight w:val="348" w:hRule="atLeast"/>
          <w:jc w:val="center"/>
        </w:trPr>
        <w:tc>
          <w:tcPr>
            <w:tcW w:w="3156" w:type="dxa"/>
            <w:gridSpan w:val="6"/>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合计</w:t>
            </w:r>
          </w:p>
        </w:tc>
        <w:tc>
          <w:tcPr>
            <w:tcW w:w="0" w:type="auto"/>
            <w:gridSpan w:val="4"/>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rPr>
                <w:rFonts w:ascii="宋体" w:hAnsi="宋体" w:eastAsia="宋体" w:cs="宋体"/>
                <w:color w:val="000000"/>
                <w:sz w:val="22"/>
              </w:rPr>
            </w:pPr>
          </w:p>
        </w:tc>
        <w:tc>
          <w:tcPr>
            <w:tcW w:w="2412" w:type="dxa"/>
            <w:gridSpan w:val="5"/>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2901</w:t>
            </w:r>
          </w:p>
        </w:tc>
        <w:tc>
          <w:tcPr>
            <w:tcW w:w="2256" w:type="dxa"/>
            <w:gridSpan w:val="4"/>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153</w:t>
            </w:r>
          </w:p>
        </w:tc>
      </w:tr>
    </w:tbl>
    <w:p>
      <w:pPr>
        <w:rPr>
          <w:rFonts w:ascii="仿宋" w:hAnsi="仿宋" w:eastAsia="仿宋" w:cs="Times New Roman"/>
          <w:b/>
          <w:bCs/>
          <w:sz w:val="32"/>
          <w:szCs w:val="32"/>
        </w:rPr>
      </w:pPr>
      <w:r>
        <w:rPr>
          <w:rFonts w:ascii="仿宋" w:hAnsi="仿宋" w:eastAsia="仿宋" w:cs="Times New Roman"/>
          <w:sz w:val="32"/>
          <w:szCs w:val="32"/>
        </w:rPr>
        <w:br w:type="page"/>
      </w:r>
      <w:r>
        <w:rPr>
          <w:rFonts w:hint="eastAsia" w:ascii="仿宋" w:hAnsi="仿宋" w:eastAsia="仿宋" w:cs="Times New Roman"/>
          <w:sz w:val="32"/>
          <w:szCs w:val="32"/>
        </w:rPr>
        <w:t xml:space="preserve">    </w:t>
      </w:r>
      <w:r>
        <w:rPr>
          <w:rFonts w:ascii="仿宋" w:hAnsi="仿宋" w:eastAsia="仿宋" w:cs="Times New Roman"/>
          <w:b/>
          <w:bCs/>
          <w:sz w:val="32"/>
          <w:szCs w:val="32"/>
        </w:rPr>
        <w:t>2.</w:t>
      </w:r>
      <w:r>
        <w:rPr>
          <w:rFonts w:hint="eastAsia" w:ascii="仿宋" w:hAnsi="仿宋" w:eastAsia="仿宋" w:cs="Times New Roman"/>
          <w:b/>
          <w:bCs/>
          <w:sz w:val="32"/>
          <w:szCs w:val="32"/>
        </w:rPr>
        <w:t>生源分析</w:t>
      </w:r>
    </w:p>
    <w:p>
      <w:pPr>
        <w:rPr>
          <w:rFonts w:ascii="仿宋" w:hAnsi="仿宋" w:eastAsia="仿宋" w:cs="Times New Roman"/>
          <w:sz w:val="32"/>
          <w:szCs w:val="32"/>
        </w:rPr>
      </w:pPr>
    </w:p>
    <w:tbl>
      <w:tblPr>
        <w:tblStyle w:val="6"/>
        <w:tblW w:w="15780" w:type="dxa"/>
        <w:jc w:val="center"/>
        <w:shd w:val="clear" w:color="auto" w:fill="auto"/>
        <w:tblLayout w:type="autofit"/>
        <w:tblCellMar>
          <w:top w:w="0" w:type="dxa"/>
          <w:left w:w="0" w:type="dxa"/>
          <w:bottom w:w="0" w:type="dxa"/>
          <w:right w:w="0" w:type="dxa"/>
        </w:tblCellMar>
      </w:tblPr>
      <w:tblGrid>
        <w:gridCol w:w="1785"/>
        <w:gridCol w:w="660"/>
        <w:gridCol w:w="675"/>
        <w:gridCol w:w="825"/>
        <w:gridCol w:w="840"/>
        <w:gridCol w:w="750"/>
        <w:gridCol w:w="840"/>
        <w:gridCol w:w="825"/>
        <w:gridCol w:w="765"/>
        <w:gridCol w:w="720"/>
        <w:gridCol w:w="810"/>
        <w:gridCol w:w="720"/>
        <w:gridCol w:w="735"/>
        <w:gridCol w:w="765"/>
        <w:gridCol w:w="705"/>
        <w:gridCol w:w="1005"/>
        <w:gridCol w:w="1050"/>
        <w:gridCol w:w="1305"/>
      </w:tblGrid>
      <w:tr>
        <w:tblPrEx>
          <w:tblCellMar>
            <w:top w:w="0" w:type="dxa"/>
            <w:left w:w="0" w:type="dxa"/>
            <w:bottom w:w="0" w:type="dxa"/>
            <w:right w:w="0" w:type="dxa"/>
          </w:tblCellMar>
        </w:tblPrEx>
        <w:trPr>
          <w:trHeight w:val="600" w:hRule="atLeast"/>
          <w:jc w:val="center"/>
        </w:trPr>
        <w:tc>
          <w:tcPr>
            <w:tcW w:w="15780" w:type="dxa"/>
            <w:gridSpan w:val="1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学历继续教育生源分析表</w:t>
            </w:r>
          </w:p>
        </w:tc>
      </w:tr>
      <w:tr>
        <w:tblPrEx>
          <w:tblCellMar>
            <w:top w:w="0" w:type="dxa"/>
            <w:left w:w="0" w:type="dxa"/>
            <w:bottom w:w="0" w:type="dxa"/>
            <w:right w:w="0" w:type="dxa"/>
          </w:tblCellMar>
        </w:tblPrEx>
        <w:trPr>
          <w:trHeight w:val="6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学校名称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性别</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年龄</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民族</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生源地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职业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学习需求</w:t>
            </w:r>
          </w:p>
        </w:tc>
      </w:tr>
      <w:tr>
        <w:tblPrEx>
          <w:tblCellMar>
            <w:top w:w="0" w:type="dxa"/>
            <w:left w:w="0" w:type="dxa"/>
            <w:bottom w:w="0" w:type="dxa"/>
            <w:right w:w="0" w:type="dxa"/>
          </w:tblCellMar>
        </w:tblPrEx>
        <w:trPr>
          <w:trHeight w:val="12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女</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18岁以下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18-25岁</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26-35岁</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35以上</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汉族</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侗族</w:t>
            </w:r>
          </w:p>
        </w:tc>
        <w:tc>
          <w:tcPr>
            <w:tcW w:w="72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白族</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苗族</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土家族</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满族</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仡佬族</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其他</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湖南</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专业技术人员</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提升学历层次需求</w:t>
            </w:r>
          </w:p>
        </w:tc>
      </w:tr>
      <w:tr>
        <w:tblPrEx>
          <w:tblCellMar>
            <w:top w:w="0" w:type="dxa"/>
            <w:left w:w="0" w:type="dxa"/>
            <w:bottom w:w="0" w:type="dxa"/>
            <w:right w:w="0" w:type="dxa"/>
          </w:tblCellMar>
        </w:tblPrEx>
        <w:trPr>
          <w:trHeight w:val="760" w:hRule="atLeast"/>
          <w:jc w:val="center"/>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湘潭医卫职业技术学院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186</w:t>
            </w:r>
          </w:p>
        </w:tc>
      </w:tr>
    </w:tbl>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sectPr>
          <w:pgSz w:w="16838" w:h="11906" w:orient="landscape"/>
          <w:pgMar w:top="1276" w:right="1440" w:bottom="1276" w:left="1440" w:header="851" w:footer="992" w:gutter="0"/>
          <w:pgNumType w:fmt="numberInDash"/>
          <w:cols w:space="425" w:num="1"/>
          <w:docGrid w:linePitch="312" w:charSpace="0"/>
        </w:sectPr>
      </w:pP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3.人才培养模式与教学基本情况</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在职学生的特点是：阅历和经验比较丰富，分析问题和解决问题的能力较强；工作与所学专业对口，专业经历较为丰富，学习动力大。在职学生主要困难是：工学矛盾突出，负担重，学习时间有限且零散。我们既按照专业人才培养方案确定培养目标、培养规格，组建课程体系、完善教学进程，也采取灵活多样的人才培养</w:t>
      </w:r>
      <w:r>
        <w:rPr>
          <w:rFonts w:hint="eastAsia" w:ascii="仿宋_GB2312" w:hAnsi="仿宋_GB2312" w:eastAsia="仿宋_GB2312" w:cs="仿宋_GB2312"/>
          <w:sz w:val="32"/>
          <w:szCs w:val="32"/>
          <w:lang w:val="en-US" w:eastAsia="zh-CN"/>
        </w:rPr>
        <w:t>模式。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为了培养出更好的人才，我们</w:t>
      </w:r>
      <w:r>
        <w:rPr>
          <w:rFonts w:hint="eastAsia" w:ascii="仿宋_GB2312" w:hAnsi="仿宋_GB2312" w:eastAsia="仿宋_GB2312" w:cs="仿宋_GB2312"/>
          <w:sz w:val="32"/>
          <w:szCs w:val="32"/>
          <w:lang w:val="en-US" w:eastAsia="zh-CN"/>
        </w:rPr>
        <w:t>结合</w:t>
      </w:r>
      <w:r>
        <w:rPr>
          <w:rFonts w:hint="eastAsia" w:ascii="仿宋_GB2312" w:hAnsi="仿宋_GB2312" w:eastAsia="仿宋_GB2312" w:cs="仿宋_GB2312"/>
          <w:sz w:val="32"/>
          <w:szCs w:val="32"/>
        </w:rPr>
        <w:t>在职学生的特点进行课程设置，理论课程和实践课程、思政公共课程和专业课程都进行精心设计。配备学校优质师资团队进行学历继续教育的授课，改革成人教育教学领域内的传统教学观念,倡导树立具有创新意识的现代教学观念,采取面授、在线课程相结合的授课方式，增加实证教学或案例教学,以提高学生学习专业知识的兴趣。考核方式采取返校笔试和在线考试相结合，适应现代化教学。</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（二）非学历继续教育情况</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1.总体规模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2019年我校共完成各类职业培训57期，职业培训总学时为3084学时，职业培训总人数为33207人次。其中，完成面向学生职业培训29期，培训16163人次，完成面向社会人员职业培训28期，培训17044人次。</w:t>
      </w:r>
    </w:p>
    <w:p>
      <w:pPr>
        <w:spacing w:line="580" w:lineRule="exact"/>
        <w:ind w:firstLine="640" w:firstLineChars="200"/>
        <w:rPr>
          <w:rFonts w:ascii="仿宋_GB2312" w:hAnsi="仿宋_GB2312" w:eastAsia="仿宋_GB2312" w:cs="仿宋_GB2312"/>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非学历继续教育情况统计表</w:t>
      </w:r>
    </w:p>
    <w:tbl>
      <w:tblPr>
        <w:tblStyle w:val="7"/>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32"/>
        <w:gridCol w:w="970"/>
        <w:gridCol w:w="775"/>
        <w:gridCol w:w="774"/>
        <w:gridCol w:w="970"/>
        <w:gridCol w:w="940"/>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trPr>
        <w:tc>
          <w:tcPr>
            <w:tcW w:w="851" w:type="dxa"/>
            <w:noWrap/>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学校名称</w:t>
            </w:r>
          </w:p>
        </w:tc>
        <w:tc>
          <w:tcPr>
            <w:tcW w:w="3232" w:type="dxa"/>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培训项目名称</w:t>
            </w:r>
          </w:p>
        </w:tc>
        <w:tc>
          <w:tcPr>
            <w:tcW w:w="970" w:type="dxa"/>
            <w:noWrap/>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培训</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模式</w:t>
            </w:r>
          </w:p>
        </w:tc>
        <w:tc>
          <w:tcPr>
            <w:tcW w:w="775" w:type="dxa"/>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行业</w:t>
            </w:r>
          </w:p>
        </w:tc>
        <w:tc>
          <w:tcPr>
            <w:tcW w:w="774" w:type="dxa"/>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类别</w:t>
            </w:r>
          </w:p>
        </w:tc>
        <w:tc>
          <w:tcPr>
            <w:tcW w:w="970" w:type="dxa"/>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对象</w:t>
            </w:r>
          </w:p>
        </w:tc>
        <w:tc>
          <w:tcPr>
            <w:tcW w:w="940" w:type="dxa"/>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班次</w:t>
            </w:r>
          </w:p>
        </w:tc>
        <w:tc>
          <w:tcPr>
            <w:tcW w:w="1028" w:type="dxa"/>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restart"/>
            <w:noWrap/>
            <w:vAlign w:val="bottom"/>
          </w:tcPr>
          <w:p>
            <w:pP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湘</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潭</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卫</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技</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术</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院</w:t>
            </w: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1.2019届临床医学专业毕业生“专升本”考前培训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B</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2.2019届口腔医学专业毕业生“专升本”考前培训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B</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3.2019届康复治疗技术专业毕业生“专升本”考前培训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B</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4.2019届药学专业毕业生“专升本”考前培训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B</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5.2019届检验专业毕业生“专升本”考前培训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B</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6.2019届毕业生护士执业资格考前培训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7.村医执业资格考试考前培训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8.学生保健按摩师培训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9.学生育婴师培训一期</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10.学生育婴师培训二期</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11.学生计算机等级考试培训一期</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12.学生计算机等级考试培训二期</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13.学生SYB创业培训（10期）</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10期</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14.职业院校教师素质提高计划“送培到校，精准培训”国家级培训（湖南护理学校）</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15.职业院校教师素质提高计划“送培到校，精准培训”国家级培训（湘潭生物机电学校）</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16.职业院校教师素质提高计划“送培到校，精准培训”国家级培训（湖南医药职业中等专业学校）</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17.附属医院（湘乡市人民医院）骨干医生教学能力培训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Q</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18.附属医院（湘潭市中心医院）骨干医生教学能力培训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Q</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19.附属医院（湘潭市第一人民医院）骨干医生教学能力培训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Q</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20.附属医院（湘潭县人民医院）骨干医生教学能力培训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Q</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21.附属医院（桃江县人民医院）骨干医生教学能力培训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Q</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22.附属医院（湘潭市第六人民医院）骨干医生教学能力培训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Q</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23.湘潭市专业技术人员继续教育公需科目培训（5期）</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B</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　</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5期</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24.湘潭市病媒生物防治、控烟、改厕培训（3期）</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Q</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94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3期</w:t>
            </w: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25.湘潭市法院系统书记员考试培训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U</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26.2019年会计专业技术初级资格考试培训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M</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B</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27.2019年中级会计师考试培训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M</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B</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noWrap/>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28.2019年湘潭市中职教学工作会议暨新时代中职教育特色发展论坛</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29.湘潭农商银行职工法律知识培训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B</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B</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30.湘潭市高新区综治维稳培训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Q</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D</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restart"/>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31.湖南省助理全科医生培训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Q</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J</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32.湘潭市财政局市行政事业单位资产管理信息系统培训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Q</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D</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33.湘潭市财政局政府财务报告编制业务培训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Q</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D</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34.大学英语四、六级考试培训（2019年上半年）</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35.大学英语四、六级考试培训（2019下半年）</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36.英语应用能力A级考试培训（2019年上半年）</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37.英语应用能力A级考试培训（2019年下半年）</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38.2019年第54次NCRE考试培训（2019年上半年）</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39.2019年第56次CERE考试培训（2019年下半年）</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P</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C</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Merge w:val="continue"/>
          </w:tcPr>
          <w:p>
            <w:pPr>
              <w:rPr>
                <w:rFonts w:ascii="仿宋_GB2312" w:hAnsi="仿宋_GB2312" w:eastAsia="仿宋_GB2312" w:cs="仿宋_GB2312"/>
                <w:sz w:val="24"/>
                <w:szCs w:val="24"/>
              </w:rPr>
            </w:pPr>
          </w:p>
        </w:tc>
        <w:tc>
          <w:tcPr>
            <w:tcW w:w="323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40.2019年国家统一法律职业资格考试培训</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775"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U</w:t>
            </w:r>
          </w:p>
        </w:tc>
        <w:tc>
          <w:tcPr>
            <w:tcW w:w="774"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970"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A</w:t>
            </w:r>
          </w:p>
        </w:tc>
        <w:tc>
          <w:tcPr>
            <w:tcW w:w="940" w:type="dxa"/>
            <w:noWrap/>
            <w:vAlign w:val="center"/>
          </w:tcPr>
          <w:p>
            <w:pPr>
              <w:jc w:val="center"/>
              <w:rPr>
                <w:rFonts w:hint="eastAsia" w:asciiTheme="minorEastAsia" w:hAnsiTheme="minorEastAsia" w:eastAsiaTheme="minorEastAsia" w:cstheme="minorEastAsia"/>
                <w:sz w:val="24"/>
                <w:szCs w:val="24"/>
              </w:rPr>
            </w:pPr>
          </w:p>
        </w:tc>
        <w:tc>
          <w:tcPr>
            <w:tcW w:w="1028" w:type="dxa"/>
            <w:noWrap/>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540" w:type="dxa"/>
            <w:gridSpan w:val="8"/>
          </w:tcPr>
          <w:p>
            <w:pPr>
              <w:rPr>
                <w:rFonts w:ascii="仿宋_GB2312" w:hAnsi="仿宋_GB2312" w:eastAsia="仿宋_GB2312" w:cs="仿宋_GB2312"/>
                <w:sz w:val="24"/>
                <w:szCs w:val="24"/>
              </w:rPr>
            </w:pPr>
          </w:p>
        </w:tc>
      </w:tr>
    </w:tbl>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2.培训模式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线上线下、走出去、引进来等多种培训模式，以优势专业为依托，建设培训基地；以服务就业创业为导向，组织培训项目；以提升职业能力为落脚点，涵养精品职业培训课程；以学有所长，技有所精的教师为核心，遴选培训师团队；以项目管理为抓手，形成“一项目一方案一课程一团队一考核”管理模式，营造更加规范和更有吸引力的培训环境。</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（三）人才培养中的思政教育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1.思政课程。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学校深入贯彻党的十九大精神、全国全省教育大会精神和高校思想政治工作会议精神，坚持“立德树人、德育为先”的工作理念，以学校内部质量保证体系为抓手，着力构建内容完善、标准健全、运行科学、保障有力、成效显著的思想政治工作质量体系，“三全育人”的工作氛围和格局基本形成。</w:t>
      </w:r>
    </w:p>
    <w:p>
      <w:pPr>
        <w:pStyle w:val="5"/>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针对成教学生的特点，充分运用新媒体技术使思政工作活起来，推动思想政治工作传统优势同信息技术完美融合，增加时代感和吸引力，开辟网络思政教育的新阵地，打通了学生思政教育最后一公里。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2.校园文化建设。</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组织学历继续教育学生积极参与校园文化建设，如：组织学历继续教育学生观看由教育部、文化与旅游部组织的“高雅艺术进校园”演出；组织学历继续教育学生参加“医卫之星”的主持人大赛、才艺达人秀等活动；组织学历继续教育学生参加“樟树林杯辩论赛”。</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3.社团活动。</w:t>
      </w:r>
    </w:p>
    <w:p>
      <w:pPr>
        <w:spacing w:line="580" w:lineRule="exact"/>
        <w:ind w:left="5" w:firstLine="640" w:firstLineChars="200"/>
        <w:rPr>
          <w:rFonts w:ascii="仿宋_GB2312" w:hAnsi="仿宋_GB2312" w:eastAsia="仿宋_GB2312" w:cs="仿宋_GB2312"/>
          <w:bCs/>
          <w:color w:val="FF0000"/>
          <w:sz w:val="32"/>
          <w:szCs w:val="32"/>
        </w:rPr>
      </w:pPr>
      <w:r>
        <w:rPr>
          <w:rFonts w:hint="eastAsia" w:ascii="仿宋_GB2312" w:hAnsi="仿宋_GB2312" w:eastAsia="仿宋_GB2312" w:cs="仿宋_GB2312"/>
          <w:bCs/>
          <w:sz w:val="32"/>
          <w:szCs w:val="32"/>
        </w:rPr>
        <w:t>组织学历继续教育学生积极参与全日制学生的社团活动，“爱乐社”的乐器演奏、“爱心社”的志愿者服务、“汉服社”的弘扬中华优秀传统文化都留下了学历继续教育学生的身影。</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（四）学生学习效果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1.学生对我校严谨的教学和管理满意，满意度达90%。</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2.用人单位对毕业生给予高度评价。省市媒体多次进行报道。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3.学生取得的成绩。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谭虎，医学技术学院康复治疗技术专业2019届毕业生，学校大学生创新创业孵化基地“文昌中医诊所”项目部牵头人。2018年谭虎牵头的创业项目文昌中医馆正式入驻大学生创新创业孵化基地。医馆正式运营1年半，营业额达230多万，创收60多万。谭虎创业团队2018年被评为学校“百优十佳”之“创新创业之星”， 2019年谭虎被评为“全国职业院校贫困生脱贫致富典型”、“岳塘区优秀创业青年”，创业项目获得湖南省大学生互联网+创新创业大赛职教赛道创意组二等奖，并获得2019年湖南省青年创新创业扶持项目资金5万元。</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四、质量保证</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（一）制度建设</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学校出台了《关于推进我校继续教育改革和发展的指导性意见》、《湘潭医卫职业技术学院继续教育创收资金分配和管理办法》、《湘潭医卫职业技术学院成人高等学历教育管理办法》、《湘潭医卫职业技术学院培训工作管理办法》、《湘潭医卫职业技术学院职业技能鉴定管理办法》。2019年学校修订了《湘潭医卫职业技术学院成人高等学历教育管理办法》，从组织管理、招生管理、教学管理、学生管理、经费管理五个方面作出了明确规定。出台了《湘潭医卫职业技术学院培训费管理办法》，强调把着力引进社会培训项目作为发展重点，社会培训收入主要用于二级院部发展，在内部分配时，向承担培训任务的一线教师倾斜。</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（二）师资保障</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1.本校教师。</w:t>
      </w:r>
    </w:p>
    <w:p>
      <w:pPr>
        <w:spacing w:line="580" w:lineRule="exact"/>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以培训基地为依托，以培训项目为引领，以培训课程为依据，建设了职业院校教师素质提高计划“送培到校 精准培训”国家级培训专家团队、助理全科医生考前培训专家团队、护士执业资格考前培训专家团队等13个培训师团队。其中，职业院校教师素质提高计划“送培到校 精准培训”国家级培训专家团队被遴选为国家级培训骨干专家团队。</w:t>
      </w:r>
    </w:p>
    <w:p>
      <w:pPr>
        <w:spacing w:line="580" w:lineRule="exact"/>
        <w:ind w:firstLine="640" w:firstLineChars="200"/>
        <w:rPr>
          <w:rFonts w:ascii="仿宋" w:hAnsi="仿宋" w:eastAsia="仿宋" w:cs="Times New Roman"/>
          <w:color w:val="000000" w:themeColor="text1"/>
          <w:sz w:val="32"/>
          <w:szCs w:val="32"/>
          <w14:textFill>
            <w14:solidFill>
              <w14:schemeClr w14:val="tx1"/>
            </w14:solidFill>
          </w14:textFill>
        </w:rPr>
      </w:pPr>
    </w:p>
    <w:p>
      <w:pPr>
        <w:spacing w:line="580" w:lineRule="exact"/>
        <w:ind w:firstLine="640" w:firstLineChars="200"/>
        <w:rPr>
          <w:rFonts w:ascii="仿宋" w:hAnsi="仿宋" w:eastAsia="仿宋" w:cs="Times New Roman"/>
          <w:color w:val="000000" w:themeColor="text1"/>
          <w:sz w:val="32"/>
          <w:szCs w:val="32"/>
          <w14:textFill>
            <w14:solidFill>
              <w14:schemeClr w14:val="tx1"/>
            </w14:solidFill>
          </w14:textFill>
        </w:rPr>
      </w:pPr>
    </w:p>
    <w:p>
      <w:pPr>
        <w:spacing w:line="580" w:lineRule="exact"/>
        <w:ind w:firstLine="640" w:firstLineChars="200"/>
        <w:rPr>
          <w:rFonts w:ascii="仿宋" w:hAnsi="仿宋" w:eastAsia="仿宋" w:cs="Times New Roman"/>
          <w:color w:val="000000" w:themeColor="text1"/>
          <w:sz w:val="32"/>
          <w:szCs w:val="32"/>
          <w14:textFill>
            <w14:solidFill>
              <w14:schemeClr w14:val="tx1"/>
            </w14:solidFill>
          </w14:textFill>
        </w:rPr>
      </w:pPr>
    </w:p>
    <w:p>
      <w:pPr>
        <w:spacing w:line="580" w:lineRule="exact"/>
        <w:ind w:firstLine="640" w:firstLineChars="200"/>
        <w:rPr>
          <w:rFonts w:hint="eastAsia" w:ascii="仿宋" w:hAnsi="仿宋" w:eastAsia="仿宋" w:cs="Times New Roman"/>
          <w:color w:val="000000" w:themeColor="text1"/>
          <w:sz w:val="32"/>
          <w:szCs w:val="32"/>
          <w14:textFill>
            <w14:solidFill>
              <w14:schemeClr w14:val="tx1"/>
            </w14:solidFill>
          </w14:textFill>
        </w:rPr>
      </w:pPr>
    </w:p>
    <w:p>
      <w:pPr>
        <w:spacing w:line="580" w:lineRule="exact"/>
        <w:ind w:firstLine="640" w:firstLineChars="200"/>
        <w:rPr>
          <w:rFonts w:ascii="仿宋" w:hAnsi="仿宋" w:eastAsia="仿宋" w:cs="Times New Roman"/>
          <w:color w:val="000000" w:themeColor="text1"/>
          <w:sz w:val="32"/>
          <w:szCs w:val="32"/>
          <w14:textFill>
            <w14:solidFill>
              <w14:schemeClr w14:val="tx1"/>
            </w14:solidFill>
          </w14:textFill>
        </w:rPr>
      </w:pPr>
    </w:p>
    <w:tbl>
      <w:tblPr>
        <w:tblStyle w:val="7"/>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600"/>
        <w:gridCol w:w="596"/>
        <w:gridCol w:w="595"/>
        <w:gridCol w:w="622"/>
        <w:gridCol w:w="567"/>
        <w:gridCol w:w="567"/>
        <w:gridCol w:w="426"/>
        <w:gridCol w:w="425"/>
        <w:gridCol w:w="567"/>
        <w:gridCol w:w="467"/>
        <w:gridCol w:w="564"/>
        <w:gridCol w:w="545"/>
        <w:gridCol w:w="480"/>
        <w:gridCol w:w="593"/>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72" w:type="dxa"/>
            <w:vMerge w:val="restart"/>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本校授课教师数量</w:t>
            </w:r>
          </w:p>
        </w:tc>
        <w:tc>
          <w:tcPr>
            <w:tcW w:w="8148" w:type="dxa"/>
            <w:gridSpan w:val="15"/>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本校继续教育聘请教师数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72" w:type="dxa"/>
            <w:vMerge w:val="continue"/>
          </w:tcPr>
          <w:p>
            <w:pPr>
              <w:rPr>
                <w:rFonts w:ascii="仿宋_GB2312" w:hAnsi="仿宋_GB2312" w:eastAsia="仿宋_GB2312" w:cs="仿宋_GB2312"/>
                <w:sz w:val="24"/>
                <w:szCs w:val="24"/>
              </w:rPr>
            </w:pPr>
          </w:p>
        </w:tc>
        <w:tc>
          <w:tcPr>
            <w:tcW w:w="2980" w:type="dxa"/>
            <w:gridSpan w:val="5"/>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授课教师</w:t>
            </w:r>
          </w:p>
        </w:tc>
        <w:tc>
          <w:tcPr>
            <w:tcW w:w="2452" w:type="dxa"/>
            <w:gridSpan w:val="5"/>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辅导员教师</w:t>
            </w:r>
          </w:p>
        </w:tc>
        <w:tc>
          <w:tcPr>
            <w:tcW w:w="2716" w:type="dxa"/>
            <w:gridSpan w:val="5"/>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7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总数</w:t>
            </w:r>
          </w:p>
        </w:tc>
        <w:tc>
          <w:tcPr>
            <w:tcW w:w="600" w:type="dxa"/>
            <w:noWra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总数</w:t>
            </w:r>
          </w:p>
        </w:tc>
        <w:tc>
          <w:tcPr>
            <w:tcW w:w="596" w:type="dxa"/>
            <w:noWra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正高</w:t>
            </w:r>
          </w:p>
        </w:tc>
        <w:tc>
          <w:tcPr>
            <w:tcW w:w="595" w:type="dxa"/>
            <w:noWra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副高</w:t>
            </w:r>
          </w:p>
        </w:tc>
        <w:tc>
          <w:tcPr>
            <w:tcW w:w="622" w:type="dxa"/>
            <w:noWra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中级</w:t>
            </w:r>
          </w:p>
        </w:tc>
        <w:tc>
          <w:tcPr>
            <w:tcW w:w="567" w:type="dxa"/>
            <w:noWrap/>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初及以下级</w:t>
            </w:r>
          </w:p>
        </w:tc>
        <w:tc>
          <w:tcPr>
            <w:tcW w:w="567" w:type="dxa"/>
            <w:noWra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总数</w:t>
            </w:r>
          </w:p>
        </w:tc>
        <w:tc>
          <w:tcPr>
            <w:tcW w:w="426" w:type="dxa"/>
            <w:noWra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正高</w:t>
            </w:r>
          </w:p>
        </w:tc>
        <w:tc>
          <w:tcPr>
            <w:tcW w:w="425" w:type="dxa"/>
            <w:noWra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副高</w:t>
            </w:r>
          </w:p>
        </w:tc>
        <w:tc>
          <w:tcPr>
            <w:tcW w:w="567" w:type="dxa"/>
            <w:noWra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中级</w:t>
            </w:r>
          </w:p>
        </w:tc>
        <w:tc>
          <w:tcPr>
            <w:tcW w:w="467" w:type="dxa"/>
            <w:noWrap/>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初级及以下</w:t>
            </w:r>
          </w:p>
        </w:tc>
        <w:tc>
          <w:tcPr>
            <w:tcW w:w="564" w:type="dxa"/>
            <w:noWra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总数</w:t>
            </w:r>
          </w:p>
        </w:tc>
        <w:tc>
          <w:tcPr>
            <w:tcW w:w="545" w:type="dxa"/>
            <w:noWra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正高</w:t>
            </w:r>
          </w:p>
        </w:tc>
        <w:tc>
          <w:tcPr>
            <w:tcW w:w="480" w:type="dxa"/>
            <w:noWra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副高</w:t>
            </w:r>
          </w:p>
        </w:tc>
        <w:tc>
          <w:tcPr>
            <w:tcW w:w="593" w:type="dxa"/>
            <w:noWrap/>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中级</w:t>
            </w:r>
          </w:p>
        </w:tc>
        <w:tc>
          <w:tcPr>
            <w:tcW w:w="534" w:type="dxa"/>
            <w:noWrap/>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初级及以下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2"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 w:val="24"/>
                <w:szCs w:val="24"/>
              </w:rPr>
              <w:t>继续教育</w:t>
            </w:r>
          </w:p>
        </w:tc>
        <w:tc>
          <w:tcPr>
            <w:tcW w:w="600" w:type="dxa"/>
            <w:noWrap/>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121</w:t>
            </w:r>
          </w:p>
        </w:tc>
        <w:tc>
          <w:tcPr>
            <w:tcW w:w="596" w:type="dxa"/>
            <w:noWrap/>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10</w:t>
            </w:r>
          </w:p>
        </w:tc>
        <w:tc>
          <w:tcPr>
            <w:tcW w:w="595" w:type="dxa"/>
            <w:noWrap/>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56</w:t>
            </w:r>
          </w:p>
        </w:tc>
        <w:tc>
          <w:tcPr>
            <w:tcW w:w="622" w:type="dxa"/>
            <w:noWrap/>
            <w:vAlign w:val="center"/>
          </w:tcPr>
          <w:p>
            <w:pPr>
              <w:jc w:val="center"/>
              <w:rPr>
                <w:rFonts w:ascii="仿宋_GB2312" w:hAnsi="仿宋_GB2312" w:eastAsia="仿宋_GB2312" w:cs="仿宋_GB2312"/>
                <w:szCs w:val="21"/>
              </w:rPr>
            </w:pPr>
            <w:r>
              <w:rPr>
                <w:rFonts w:hAnsi="仿宋_GB2312" w:eastAsia="仿宋_GB2312" w:cs="仿宋_GB2312"/>
                <w:szCs w:val="21"/>
              </w:rPr>
              <w:t>38</w:t>
            </w:r>
          </w:p>
        </w:tc>
        <w:tc>
          <w:tcPr>
            <w:tcW w:w="567" w:type="dxa"/>
            <w:noWrap/>
            <w:vAlign w:val="center"/>
          </w:tcPr>
          <w:p>
            <w:pPr>
              <w:jc w:val="center"/>
              <w:rPr>
                <w:rFonts w:ascii="仿宋_GB2312" w:hAnsi="仿宋_GB2312" w:eastAsia="仿宋_GB2312" w:cs="仿宋_GB2312"/>
                <w:szCs w:val="21"/>
              </w:rPr>
            </w:pPr>
            <w:r>
              <w:rPr>
                <w:rFonts w:hAnsi="仿宋_GB2312" w:eastAsia="仿宋_GB2312" w:cs="仿宋_GB2312"/>
                <w:szCs w:val="21"/>
              </w:rPr>
              <w:t>17</w:t>
            </w:r>
          </w:p>
        </w:tc>
        <w:tc>
          <w:tcPr>
            <w:tcW w:w="567" w:type="dxa"/>
            <w:noWrap/>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426"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425"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567" w:type="dxa"/>
            <w:noWrap/>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5</w:t>
            </w:r>
          </w:p>
        </w:tc>
        <w:tc>
          <w:tcPr>
            <w:tcW w:w="467" w:type="dxa"/>
            <w:noWrap/>
            <w:vAlign w:val="center"/>
          </w:tcPr>
          <w:p>
            <w:pPr>
              <w:jc w:val="center"/>
              <w:rPr>
                <w:rFonts w:ascii="仿宋_GB2312" w:hAnsi="仿宋_GB2312" w:eastAsia="仿宋_GB2312" w:cs="仿宋_GB2312"/>
                <w:szCs w:val="21"/>
              </w:rPr>
            </w:pPr>
            <w:r>
              <w:rPr>
                <w:rFonts w:hAnsi="仿宋_GB2312" w:eastAsia="仿宋_GB2312" w:cs="仿宋_GB2312"/>
                <w:szCs w:val="21"/>
              </w:rPr>
              <w:t>1</w:t>
            </w:r>
          </w:p>
        </w:tc>
        <w:tc>
          <w:tcPr>
            <w:tcW w:w="564"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545"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480"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593"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34" w:type="dxa"/>
            <w:noWrap/>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2"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本校教师</w:t>
            </w:r>
          </w:p>
        </w:tc>
        <w:tc>
          <w:tcPr>
            <w:tcW w:w="600" w:type="dxa"/>
            <w:noWrap/>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509</w:t>
            </w:r>
          </w:p>
        </w:tc>
        <w:tc>
          <w:tcPr>
            <w:tcW w:w="596" w:type="dxa"/>
            <w:noWrap/>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595" w:type="dxa"/>
            <w:noWrap/>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159</w:t>
            </w:r>
          </w:p>
        </w:tc>
        <w:tc>
          <w:tcPr>
            <w:tcW w:w="622" w:type="dxa"/>
            <w:noWrap/>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249</w:t>
            </w:r>
          </w:p>
        </w:tc>
        <w:tc>
          <w:tcPr>
            <w:tcW w:w="567" w:type="dxa"/>
            <w:noWrap/>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81</w:t>
            </w:r>
          </w:p>
        </w:tc>
        <w:tc>
          <w:tcPr>
            <w:tcW w:w="567"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426"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425"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67"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17</w:t>
            </w:r>
          </w:p>
        </w:tc>
        <w:tc>
          <w:tcPr>
            <w:tcW w:w="467"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564"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139</w:t>
            </w:r>
          </w:p>
        </w:tc>
        <w:tc>
          <w:tcPr>
            <w:tcW w:w="545"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480"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44</w:t>
            </w:r>
          </w:p>
        </w:tc>
        <w:tc>
          <w:tcPr>
            <w:tcW w:w="593"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52</w:t>
            </w:r>
          </w:p>
        </w:tc>
        <w:tc>
          <w:tcPr>
            <w:tcW w:w="534"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2"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占本校教师比例</w:t>
            </w:r>
          </w:p>
        </w:tc>
        <w:tc>
          <w:tcPr>
            <w:tcW w:w="600" w:type="dxa"/>
            <w:noWrap/>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lang w:val="en-US" w:eastAsia="zh-CN"/>
              </w:rPr>
              <w:t>4</w:t>
            </w:r>
            <w:r>
              <w:rPr>
                <w:rFonts w:ascii="仿宋_GB2312" w:hAnsi="仿宋_GB2312" w:eastAsia="仿宋_GB2312" w:cs="仿宋_GB2312"/>
                <w:szCs w:val="21"/>
              </w:rPr>
              <w:t>%</w:t>
            </w:r>
          </w:p>
        </w:tc>
        <w:tc>
          <w:tcPr>
            <w:tcW w:w="596"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50</w:t>
            </w:r>
            <w:r>
              <w:rPr>
                <w:rFonts w:ascii="仿宋_GB2312" w:hAnsi="仿宋_GB2312" w:eastAsia="仿宋_GB2312" w:cs="仿宋_GB2312"/>
                <w:szCs w:val="21"/>
              </w:rPr>
              <w:t>%</w:t>
            </w:r>
          </w:p>
        </w:tc>
        <w:tc>
          <w:tcPr>
            <w:tcW w:w="595"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ascii="仿宋_GB2312" w:hAnsi="仿宋_GB2312" w:eastAsia="仿宋_GB2312" w:cs="仿宋_GB2312"/>
                <w:szCs w:val="21"/>
              </w:rPr>
              <w:t>5%</w:t>
            </w:r>
          </w:p>
        </w:tc>
        <w:tc>
          <w:tcPr>
            <w:tcW w:w="622" w:type="dxa"/>
            <w:noWrap/>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lang w:val="en-US" w:eastAsia="zh-CN"/>
              </w:rPr>
              <w:t>5</w:t>
            </w:r>
            <w:r>
              <w:rPr>
                <w:rFonts w:ascii="仿宋_GB2312" w:hAnsi="仿宋_GB2312" w:eastAsia="仿宋_GB2312" w:cs="仿宋_GB2312"/>
                <w:szCs w:val="21"/>
              </w:rPr>
              <w:t>%</w:t>
            </w:r>
          </w:p>
        </w:tc>
        <w:tc>
          <w:tcPr>
            <w:tcW w:w="567"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21</w:t>
            </w:r>
            <w:r>
              <w:rPr>
                <w:rFonts w:ascii="仿宋_GB2312" w:hAnsi="仿宋_GB2312" w:eastAsia="仿宋_GB2312" w:cs="仿宋_GB2312"/>
                <w:szCs w:val="21"/>
              </w:rPr>
              <w:t>%</w:t>
            </w:r>
          </w:p>
        </w:tc>
        <w:tc>
          <w:tcPr>
            <w:tcW w:w="567" w:type="dxa"/>
            <w:noWrap/>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lang w:val="en-US" w:eastAsia="zh-CN"/>
              </w:rPr>
              <w:t>7</w:t>
            </w:r>
            <w:r>
              <w:rPr>
                <w:rFonts w:ascii="仿宋_GB2312" w:hAnsi="仿宋_GB2312" w:eastAsia="仿宋_GB2312" w:cs="仿宋_GB2312"/>
                <w:szCs w:val="21"/>
              </w:rPr>
              <w:t>%</w:t>
            </w:r>
          </w:p>
        </w:tc>
        <w:tc>
          <w:tcPr>
            <w:tcW w:w="426"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425"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567" w:type="dxa"/>
            <w:noWrap/>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29%</w:t>
            </w:r>
          </w:p>
        </w:tc>
        <w:tc>
          <w:tcPr>
            <w:tcW w:w="467" w:type="dxa"/>
            <w:noWrap/>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5%</w:t>
            </w:r>
          </w:p>
        </w:tc>
        <w:tc>
          <w:tcPr>
            <w:tcW w:w="564" w:type="dxa"/>
            <w:noWrap/>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6%</w:t>
            </w:r>
          </w:p>
        </w:tc>
        <w:tc>
          <w:tcPr>
            <w:tcW w:w="545"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480" w:type="dxa"/>
            <w:noWrap/>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5%</w:t>
            </w:r>
          </w:p>
        </w:tc>
        <w:tc>
          <w:tcPr>
            <w:tcW w:w="593" w:type="dxa"/>
            <w:noWrap/>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6%</w:t>
            </w:r>
          </w:p>
        </w:tc>
        <w:tc>
          <w:tcPr>
            <w:tcW w:w="534"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9</w:t>
            </w:r>
            <w:r>
              <w:rPr>
                <w:rFonts w:ascii="仿宋_GB2312" w:hAnsi="仿宋_GB2312" w:eastAsia="仿宋_GB2312" w:cs="仿宋_GB2312"/>
                <w:szCs w:val="21"/>
              </w:rPr>
              <w:t>%</w:t>
            </w:r>
          </w:p>
        </w:tc>
      </w:tr>
    </w:tbl>
    <w:p/>
    <w:p>
      <w:pPr>
        <w:spacing w:line="580" w:lineRule="exact"/>
        <w:ind w:firstLine="640" w:firstLineChars="200"/>
        <w:rPr>
          <w:rFonts w:ascii="仿宋" w:hAnsi="仿宋" w:eastAsia="仿宋" w:cs="楷体_GB2312"/>
          <w:bCs/>
          <w:sz w:val="32"/>
          <w:szCs w:val="32"/>
        </w:rPr>
      </w:pPr>
      <w:r>
        <w:rPr>
          <w:rFonts w:hint="eastAsia" w:ascii="仿宋" w:hAnsi="仿宋" w:eastAsia="仿宋" w:cs="楷体_GB2312"/>
          <w:bCs/>
          <w:sz w:val="32"/>
          <w:szCs w:val="32"/>
        </w:rPr>
        <w:t>2.校外学习中心和教学站点教师。</w:t>
      </w:r>
    </w:p>
    <w:p>
      <w:pPr>
        <w:spacing w:line="580" w:lineRule="exact"/>
        <w:ind w:firstLine="640" w:firstLineChars="200"/>
        <w:jc w:val="left"/>
        <w:rPr>
          <w:rFonts w:ascii="仿宋" w:hAnsi="仿宋" w:eastAsia="仿宋" w:cs="楷体_GB2312"/>
          <w:bCs/>
          <w:sz w:val="32"/>
          <w:szCs w:val="32"/>
        </w:rPr>
      </w:pPr>
      <w:r>
        <w:rPr>
          <w:rFonts w:hint="eastAsia" w:ascii="仿宋" w:hAnsi="仿宋" w:eastAsia="仿宋" w:cs="楷体_GB2312"/>
          <w:bCs/>
          <w:sz w:val="32"/>
          <w:szCs w:val="32"/>
        </w:rPr>
        <w:t>我校无校外学习中心。</w:t>
      </w:r>
    </w:p>
    <w:p>
      <w:pPr>
        <w:spacing w:line="580" w:lineRule="exact"/>
        <w:ind w:firstLine="643" w:firstLineChars="200"/>
        <w:rPr>
          <w:rFonts w:ascii="仿宋" w:hAnsi="仿宋" w:eastAsia="仿宋" w:cs="Times New Roman"/>
          <w:b/>
          <w:bCs/>
          <w:color w:val="000000" w:themeColor="text1"/>
          <w:sz w:val="32"/>
          <w:szCs w:val="32"/>
          <w14:textFill>
            <w14:solidFill>
              <w14:schemeClr w14:val="tx1"/>
            </w14:solidFill>
          </w14:textFill>
        </w:rPr>
      </w:pPr>
      <w:r>
        <w:rPr>
          <w:rFonts w:hint="eastAsia" w:ascii="仿宋" w:hAnsi="仿宋" w:eastAsia="仿宋" w:cs="Times New Roman"/>
          <w:b/>
          <w:bCs/>
          <w:color w:val="000000" w:themeColor="text1"/>
          <w:sz w:val="32"/>
          <w:szCs w:val="32"/>
          <w14:textFill>
            <w14:solidFill>
              <w14:schemeClr w14:val="tx1"/>
            </w14:solidFill>
          </w14:textFill>
        </w:rPr>
        <w:t>（三）资源建设</w:t>
      </w:r>
    </w:p>
    <w:p>
      <w:pPr>
        <w:spacing w:line="580" w:lineRule="exact"/>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1.教材及数字化学习资源的总量。</w:t>
      </w:r>
    </w:p>
    <w:p>
      <w:pPr>
        <w:spacing w:line="580" w:lineRule="exact"/>
        <w:ind w:firstLine="640" w:firstLineChars="200"/>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我校共有纸质教材数量为6000册，2019年新买400册，专业辅导资料数量41000册，2019年新买2100册，我校现有电子图书150000册，电子期刊</w:t>
      </w:r>
      <w:r>
        <w:rPr>
          <w:rFonts w:hint="eastAsia" w:ascii="仿宋" w:hAnsi="仿宋" w:eastAsia="仿宋" w:cs="Times New Roman"/>
          <w:color w:val="000000" w:themeColor="text1"/>
          <w:sz w:val="32"/>
          <w:szCs w:val="32"/>
          <w:lang w:val="en-US" w:eastAsia="zh-CN"/>
          <w14:textFill>
            <w14:solidFill>
              <w14:schemeClr w14:val="tx1"/>
            </w14:solidFill>
          </w14:textFill>
        </w:rPr>
        <w:t>181456册，学位论文160000册。</w:t>
      </w:r>
    </w:p>
    <w:p>
      <w:pPr>
        <w:spacing w:line="580" w:lineRule="exact"/>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2.教材及数字化学习资源的新建情况。</w:t>
      </w:r>
    </w:p>
    <w:p>
      <w:pPr>
        <w:spacing w:line="580" w:lineRule="exact"/>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我校深化教材改革，健全教材选用制度，依托AIC智慧校园平台，建立完善了学校专业教材备选库，明确教材选用审批流程，明晰权责，优先选用全国高职高专规划教材；严把思政教材的选用关，切实把握好思政教材的时效性，部分课程正在开发建设与省级和校级精品在线课程配套的电子教材。</w:t>
      </w:r>
    </w:p>
    <w:p>
      <w:pPr>
        <w:spacing w:line="580" w:lineRule="exact"/>
        <w:ind w:firstLine="640" w:firstLineChars="200"/>
        <w:rPr>
          <w:rFonts w:ascii="仿宋" w:hAnsi="仿宋" w:eastAsia="仿宋" w:cs="Times New Roman"/>
          <w:color w:val="000000" w:themeColor="text1"/>
          <w:sz w:val="32"/>
          <w:szCs w:val="32"/>
          <w14:textFill>
            <w14:solidFill>
              <w14:schemeClr w14:val="tx1"/>
            </w14:solidFill>
          </w14:textFill>
        </w:rPr>
      </w:pPr>
    </w:p>
    <w:p>
      <w:pPr>
        <w:spacing w:line="580" w:lineRule="exact"/>
        <w:ind w:firstLine="640" w:firstLineChars="200"/>
        <w:rPr>
          <w:rFonts w:ascii="仿宋" w:hAnsi="仿宋" w:eastAsia="仿宋" w:cs="Times New Roman"/>
          <w:color w:val="000000" w:themeColor="text1"/>
          <w:sz w:val="32"/>
          <w:szCs w:val="32"/>
          <w14:textFill>
            <w14:solidFill>
              <w14:schemeClr w14:val="tx1"/>
            </w14:solidFill>
          </w14:textFill>
        </w:rPr>
      </w:pPr>
    </w:p>
    <w:tbl>
      <w:tblPr>
        <w:tblStyle w:val="6"/>
        <w:tblW w:w="8969" w:type="dxa"/>
        <w:jc w:val="center"/>
        <w:tblLayout w:type="fixed"/>
        <w:tblCellMar>
          <w:top w:w="0" w:type="dxa"/>
          <w:left w:w="108" w:type="dxa"/>
          <w:bottom w:w="0" w:type="dxa"/>
          <w:right w:w="108" w:type="dxa"/>
        </w:tblCellMar>
      </w:tblPr>
      <w:tblGrid>
        <w:gridCol w:w="2665"/>
        <w:gridCol w:w="2816"/>
        <w:gridCol w:w="3488"/>
      </w:tblGrid>
      <w:tr>
        <w:tblPrEx>
          <w:tblCellMar>
            <w:top w:w="0" w:type="dxa"/>
            <w:left w:w="108" w:type="dxa"/>
            <w:bottom w:w="0" w:type="dxa"/>
            <w:right w:w="108" w:type="dxa"/>
          </w:tblCellMar>
        </w:tblPrEx>
        <w:trPr>
          <w:trHeight w:val="339" w:hRule="atLeast"/>
          <w:jc w:val="center"/>
        </w:trPr>
        <w:tc>
          <w:tcPr>
            <w:tcW w:w="896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资 源 建 设</w:t>
            </w:r>
          </w:p>
        </w:tc>
      </w:tr>
      <w:tr>
        <w:tblPrEx>
          <w:tblCellMar>
            <w:top w:w="0" w:type="dxa"/>
            <w:left w:w="108" w:type="dxa"/>
            <w:bottom w:w="0" w:type="dxa"/>
            <w:right w:w="108" w:type="dxa"/>
          </w:tblCellMar>
        </w:tblPrEx>
        <w:trPr>
          <w:trHeight w:val="419" w:hRule="atLeast"/>
          <w:jc w:val="center"/>
        </w:trPr>
        <w:tc>
          <w:tcPr>
            <w:tcW w:w="2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教材及数字化资源总量</w:t>
            </w:r>
          </w:p>
        </w:tc>
        <w:tc>
          <w:tcPr>
            <w:tcW w:w="2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教材及数字化资源类型</w:t>
            </w:r>
          </w:p>
        </w:tc>
        <w:tc>
          <w:tcPr>
            <w:tcW w:w="34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教材及数字化资源新建情况</w:t>
            </w:r>
          </w:p>
        </w:tc>
      </w:tr>
      <w:tr>
        <w:tblPrEx>
          <w:tblCellMar>
            <w:top w:w="0" w:type="dxa"/>
            <w:left w:w="108" w:type="dxa"/>
            <w:bottom w:w="0" w:type="dxa"/>
            <w:right w:w="108" w:type="dxa"/>
          </w:tblCellMar>
        </w:tblPrEx>
        <w:trPr>
          <w:trHeight w:val="442" w:hRule="atLeast"/>
          <w:jc w:val="center"/>
        </w:trPr>
        <w:tc>
          <w:tcPr>
            <w:tcW w:w="26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220</w:t>
            </w:r>
            <w:r>
              <w:rPr>
                <w:rFonts w:hint="eastAsia" w:ascii="仿宋_GB2312" w:hAnsi="仿宋_GB2312" w:eastAsia="仿宋_GB2312" w:cs="仿宋_GB2312"/>
                <w:color w:val="000000" w:themeColor="text1"/>
                <w:kern w:val="0"/>
                <w:sz w:val="24"/>
                <w:szCs w:val="24"/>
                <w14:textFill>
                  <w14:solidFill>
                    <w14:schemeClr w14:val="tx1"/>
                  </w14:solidFill>
                </w14:textFill>
              </w:rPr>
              <w:t>门网络教学课程</w:t>
            </w:r>
          </w:p>
        </w:tc>
        <w:tc>
          <w:tcPr>
            <w:tcW w:w="28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在线课程</w:t>
            </w:r>
          </w:p>
        </w:tc>
        <w:tc>
          <w:tcPr>
            <w:tcW w:w="34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2019年新增172</w:t>
            </w:r>
            <w:r>
              <w:rPr>
                <w:rFonts w:hint="eastAsia" w:ascii="仿宋_GB2312" w:hAnsi="仿宋_GB2312" w:eastAsia="仿宋_GB2312" w:cs="仿宋_GB2312"/>
                <w:color w:val="000000" w:themeColor="text1"/>
                <w:kern w:val="0"/>
                <w:sz w:val="24"/>
                <w:szCs w:val="24"/>
                <w14:textFill>
                  <w14:solidFill>
                    <w14:schemeClr w14:val="tx1"/>
                  </w14:solidFill>
                </w14:textFill>
              </w:rPr>
              <w:t>门网络教学课程</w:t>
            </w:r>
          </w:p>
        </w:tc>
      </w:tr>
    </w:tbl>
    <w:p>
      <w:pPr>
        <w:spacing w:line="54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（四）设施设备</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建设了现代化的网络中心，资产总额近1000万元的网络平台和网络设备，网络教学课程</w:t>
      </w:r>
      <w:r>
        <w:rPr>
          <w:rFonts w:hint="eastAsia" w:ascii="仿宋_GB2312" w:hAnsi="仿宋_GB2312" w:eastAsia="仿宋_GB2312" w:cs="仿宋_GB2312"/>
          <w:bCs/>
          <w:sz w:val="32"/>
          <w:szCs w:val="32"/>
          <w:lang w:val="en-US" w:eastAsia="zh-CN"/>
        </w:rPr>
        <w:t>220门</w:t>
      </w:r>
      <w:r>
        <w:rPr>
          <w:rFonts w:hint="eastAsia" w:ascii="仿宋_GB2312" w:hAnsi="仿宋_GB2312" w:eastAsia="仿宋_GB2312" w:cs="仿宋_GB2312"/>
          <w:bCs/>
          <w:sz w:val="32"/>
          <w:szCs w:val="32"/>
        </w:rPr>
        <w:t>，拥有282间3.2977万平方米的普通教室和3.5098万平方米实训室，其中网络多媒体教室157间。</w:t>
      </w:r>
    </w:p>
    <w:p>
      <w:pPr>
        <w:spacing w:line="54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（五）合作办学及校外学习中心、教学站点建设和管理情况</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我校目前无此情况。</w:t>
      </w:r>
    </w:p>
    <w:p>
      <w:pPr>
        <w:spacing w:line="54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（六）学习支持服务</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1.学习支持服务体系建设。</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我校制订了《湘潭医卫职业技术学院成人高等学历教育管理办法》、《湘潭医卫职业技术学院培训工作管理办法》、《湘潭医卫职业技术学院培训费管理办法》，从申办及招生、组织管理、教学督导、学生培训、社会培训、职业技能培训、经费管理、责任追究等八个方面作出了明确规定，形成了完整的继续教育系列管理制度，为学习支持服务提供制度保障。严格按制度规范办学行为，无点外设点、中介招生、违规收费、虚假承诺和宣传现象。</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 学习支持服务信息化建设。</w:t>
      </w:r>
    </w:p>
    <w:p>
      <w:pPr>
        <w:adjustRightInd w:val="0"/>
        <w:snapToGrid w:val="0"/>
        <w:spacing w:line="580" w:lineRule="exact"/>
        <w:ind w:firstLine="640" w:firstLineChars="200"/>
        <w:rPr>
          <w:rFonts w:ascii="仿宋_GB2312" w:hAnsi="仿宋_GB2312" w:eastAsia="仿宋_GB2312" w:cs="仿宋_GB2312"/>
          <w:bCs/>
          <w:color w:val="FF0000"/>
          <w:sz w:val="32"/>
          <w:szCs w:val="32"/>
        </w:rPr>
      </w:pPr>
      <w:r>
        <w:rPr>
          <w:rFonts w:hint="eastAsia" w:ascii="仿宋_GB2312" w:hAnsi="仿宋_GB2312" w:eastAsia="仿宋_GB2312" w:cs="仿宋_GB2312"/>
          <w:bCs/>
          <w:sz w:val="32"/>
          <w:szCs w:val="32"/>
        </w:rPr>
        <w:t>学校充分利用引进超星泛雅平台，实现线上线下教学模式的改革。教师利用平台资源快速建课和备课、并组织学生进行课前预习（在线学习）、课中互动（签到、抢答、学情调查、讨论、答疑、评分、PBL小组任务学习）、课后复习（章节测验和作业）。</w:t>
      </w:r>
    </w:p>
    <w:p>
      <w:pPr>
        <w:spacing w:line="54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（七）内部质量管理</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1.教学组织。</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逐步改进课堂教学模式，积极支持教师建设在线特色课程。重组课程模块，重构教学内容，设计拓展课程。学校成功引进课程教学平台，充分运行信息化手段，加强课堂教学、教学评价、教学管理的改革，推广线上线下混合式教学等多种教学模式。加强在线教学资源的引进和建设，加快建立教学资源库，着力建设一批具有医卫特色的在线课程资源。</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2.学生（学员）管理。</w:t>
      </w:r>
    </w:p>
    <w:p>
      <w:pPr>
        <w:adjustRightInd w:val="0"/>
        <w:snapToGrid w:val="0"/>
        <w:spacing w:line="580" w:lineRule="exact"/>
        <w:ind w:firstLine="640" w:firstLineChars="200"/>
        <w:rPr>
          <w:rFonts w:ascii="仿宋_GB2312" w:hAnsi="仿宋_GB2312" w:eastAsia="仿宋_GB2312" w:cs="仿宋_GB2312"/>
          <w:bCs/>
          <w:color w:val="FF0000"/>
          <w:sz w:val="32"/>
          <w:szCs w:val="32"/>
        </w:rPr>
      </w:pPr>
      <w:r>
        <w:rPr>
          <w:rFonts w:hint="eastAsia" w:ascii="仿宋_GB2312" w:hAnsi="仿宋_GB2312" w:eastAsia="仿宋_GB2312" w:cs="仿宋_GB2312"/>
          <w:sz w:val="32"/>
          <w:szCs w:val="32"/>
        </w:rPr>
        <w:t>我校所有学历继续教育学生由教学院（部）统筹管理，按照全日制学生管理体系运行。选派责任心强、有较强的组织和管理能力、热心学生工作的人员担任班主任，负责学生的学习、生活和日常管理。需要进行面授的，在学生入学前，必须落实学生的食宿地点，妥善安置学生。</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3.师资管理。</w:t>
      </w:r>
    </w:p>
    <w:p>
      <w:pPr>
        <w:spacing w:line="540" w:lineRule="exact"/>
        <w:ind w:firstLine="640" w:firstLineChars="200"/>
        <w:rPr>
          <w:rFonts w:ascii="仿宋_GB2312" w:hAnsi="仿宋_GB2312" w:eastAsia="仿宋_GB2312" w:cs="仿宋_GB2312"/>
          <w:bCs/>
          <w:color w:val="FF0000"/>
          <w:sz w:val="32"/>
          <w:szCs w:val="32"/>
        </w:rPr>
      </w:pPr>
      <w:r>
        <w:rPr>
          <w:rFonts w:hint="eastAsia" w:ascii="仿宋_GB2312" w:hAnsi="仿宋_GB2312" w:eastAsia="仿宋_GB2312" w:cs="仿宋_GB2312"/>
          <w:bCs/>
          <w:sz w:val="32"/>
          <w:szCs w:val="32"/>
        </w:rPr>
        <w:t>学历继续教育的师资由</w:t>
      </w:r>
      <w:r>
        <w:rPr>
          <w:rFonts w:hint="eastAsia" w:ascii="仿宋_GB2312" w:hAnsi="仿宋_GB2312" w:eastAsia="仿宋_GB2312" w:cs="仿宋_GB2312"/>
          <w:sz w:val="32"/>
          <w:szCs w:val="32"/>
        </w:rPr>
        <w:t>教学院（部）统筹管理，教学院（部）根据教学计划选派责任心强、教学经验丰富的校内教师承担学历继续教育的教学任务。</w:t>
      </w:r>
    </w:p>
    <w:p>
      <w:pPr>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（八）外部质量评估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1.行政主管部门的质量评估。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湖南省教育厅给予我校的成人教育高度评价，多次组织专业人员来我校考察观摩。</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2.社会第三方机构质量评估。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我校成教培训影响力不断扩大，逐步形成品牌。</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3.委托单位（受训单位）的质量评估。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让受培学校的教师更新了职教理念、开阔了教育视野，提升了能力，促进职业院校校际交流合作，建立</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长期的帮扶关系，评教满意率达97.23%。</w:t>
      </w:r>
    </w:p>
    <w:p>
      <w:pPr>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（九）信息化建设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1.教学信息化建设。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我校积极</w:t>
      </w:r>
      <w:r>
        <w:rPr>
          <w:rFonts w:ascii="仿宋_GB2312" w:hAnsi="仿宋_GB2312" w:eastAsia="仿宋_GB2312" w:cs="仿宋_GB2312"/>
          <w:sz w:val="32"/>
          <w:szCs w:val="32"/>
        </w:rPr>
        <w:t>打造网络资源共享平台,根据成人教育的不同需求,整合教学资源,使学员的学习需求获得有效保障。借助信息化管理的硬件和软件条件,将知识更新、理论联系实际、互动交流作为平台的核心功能,倡导师生充分活动,及时将贴近实践的教学资源传递给学员,方便学员打破时间和空间的界限,发挥主观能动性,提升职业技能和素养。</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2.管理信息化建设。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我校</w:t>
      </w:r>
      <w:r>
        <w:rPr>
          <w:rFonts w:ascii="仿宋_GB2312" w:hAnsi="仿宋_GB2312" w:eastAsia="仿宋_GB2312" w:cs="仿宋_GB2312"/>
          <w:sz w:val="32"/>
          <w:szCs w:val="32"/>
        </w:rPr>
        <w:t>充分发挥信息化设备和系统的作用</w:t>
      </w:r>
      <w:r>
        <w:rPr>
          <w:rFonts w:hint="eastAsia" w:ascii="仿宋_GB2312" w:hAnsi="仿宋_GB2312" w:eastAsia="仿宋_GB2312" w:cs="仿宋_GB2312"/>
          <w:sz w:val="32"/>
          <w:szCs w:val="32"/>
        </w:rPr>
        <w:t>，构建了</w:t>
      </w:r>
      <w:r>
        <w:rPr>
          <w:rFonts w:ascii="仿宋_GB2312" w:hAnsi="仿宋_GB2312" w:eastAsia="仿宋_GB2312" w:cs="仿宋_GB2312"/>
          <w:sz w:val="32"/>
          <w:szCs w:val="32"/>
        </w:rPr>
        <w:t>管理信息化观念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针对管理需求,科学设计,将招生、选课、教学、考核、档案等不同管理系统进行整合,建设集成化的信息管理系统,实现相关数据库的对接和关联,提高</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管理效率。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3.服务信息化建设。</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校自主研发“湘潭专业技术人员继续教育网”平台，专业技术人员可以通过该平台学习、考试。相较于以往的集中面授，远程网络培训的学习形式更加灵活，学习时间安排更加自主，受到大家的高度肯定。我校组建了40名高学历、高职称教师的专业技术人员继续教育师资团队，严格按照省市人社部门要求制定年度培训计划、确定培训内容、制作培训课件。专业技术人员继续教育工作取得了显著成绩，2019年培训4111人，我校已成为我市最具影响力的专业技术人员继续教育基地。</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（十）经费保障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1.收入情况。</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2019年度学历继续教育学费收入共计</w:t>
      </w:r>
      <w:r>
        <w:rPr>
          <w:rFonts w:ascii="仿宋_GB2312" w:hAnsi="仿宋_GB2312" w:eastAsia="仿宋_GB2312" w:cs="仿宋_GB2312"/>
          <w:sz w:val="32"/>
          <w:szCs w:val="32"/>
        </w:rPr>
        <w:t>7.3442</w:t>
      </w:r>
      <w:r>
        <w:rPr>
          <w:rFonts w:hint="eastAsia" w:ascii="仿宋_GB2312" w:hAnsi="仿宋_GB2312" w:eastAsia="仿宋_GB2312" w:cs="仿宋_GB2312"/>
          <w:sz w:val="32"/>
          <w:szCs w:val="32"/>
        </w:rPr>
        <w:t xml:space="preserve">万元。2019年度非学历继续教育培训费收入共计 </w:t>
      </w:r>
      <w:r>
        <w:rPr>
          <w:rFonts w:ascii="仿宋_GB2312" w:hAnsi="仿宋_GB2312" w:eastAsia="仿宋_GB2312" w:cs="仿宋_GB2312"/>
          <w:sz w:val="32"/>
          <w:szCs w:val="32"/>
        </w:rPr>
        <w:t>270.8358万元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扣除20%的国库统筹+3%税费共计62.2922万元，余208.5436万元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两项共计收入为215.8878万元。</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使用情况。</w:t>
      </w:r>
    </w:p>
    <w:tbl>
      <w:tblPr>
        <w:tblStyle w:val="6"/>
        <w:tblW w:w="6949" w:type="dxa"/>
        <w:jc w:val="center"/>
        <w:shd w:val="clear" w:color="auto" w:fill="auto"/>
        <w:tblLayout w:type="autofit"/>
        <w:tblCellMar>
          <w:top w:w="0" w:type="dxa"/>
          <w:left w:w="0" w:type="dxa"/>
          <w:bottom w:w="0" w:type="dxa"/>
          <w:right w:w="0" w:type="dxa"/>
        </w:tblCellMar>
      </w:tblPr>
      <w:tblGrid>
        <w:gridCol w:w="1512"/>
        <w:gridCol w:w="1308"/>
        <w:gridCol w:w="1344"/>
        <w:gridCol w:w="1380"/>
        <w:gridCol w:w="1405"/>
      </w:tblGrid>
      <w:tr>
        <w:tblPrEx>
          <w:shd w:val="clear" w:color="auto" w:fill="auto"/>
          <w:tblCellMar>
            <w:top w:w="0" w:type="dxa"/>
            <w:left w:w="0" w:type="dxa"/>
            <w:bottom w:w="0" w:type="dxa"/>
            <w:right w:w="0" w:type="dxa"/>
          </w:tblCellMar>
        </w:tblPrEx>
        <w:trPr>
          <w:trHeight w:val="500" w:hRule="atLeast"/>
          <w:jc w:val="center"/>
        </w:trPr>
        <w:tc>
          <w:tcPr>
            <w:tcW w:w="6948"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支出（万元）</w:t>
            </w:r>
          </w:p>
        </w:tc>
      </w:tr>
      <w:tr>
        <w:tblPrEx>
          <w:tblCellMar>
            <w:top w:w="0" w:type="dxa"/>
            <w:left w:w="0" w:type="dxa"/>
            <w:bottom w:w="0" w:type="dxa"/>
            <w:right w:w="0" w:type="dxa"/>
          </w:tblCellMar>
        </w:tblPrEx>
        <w:trPr>
          <w:trHeight w:val="288" w:hRule="atLeast"/>
          <w:jc w:val="center"/>
        </w:trPr>
        <w:tc>
          <w:tcPr>
            <w:tcW w:w="15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总支出</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教师薪酬</w:t>
            </w:r>
          </w:p>
        </w:tc>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教学设备</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教学活动</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其他支出</w:t>
            </w:r>
          </w:p>
        </w:tc>
      </w:tr>
      <w:tr>
        <w:tblPrEx>
          <w:tblCellMar>
            <w:top w:w="0" w:type="dxa"/>
            <w:left w:w="0" w:type="dxa"/>
            <w:bottom w:w="0" w:type="dxa"/>
            <w:right w:w="0" w:type="dxa"/>
          </w:tblCellMar>
        </w:tblPrEx>
        <w:trPr>
          <w:trHeight w:val="288" w:hRule="atLeast"/>
          <w:jc w:val="center"/>
        </w:trPr>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jc w:val="center"/>
        </w:trPr>
        <w:tc>
          <w:tcPr>
            <w:tcW w:w="151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200.7755</w:t>
            </w:r>
          </w:p>
        </w:tc>
        <w:tc>
          <w:tcPr>
            <w:tcW w:w="130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129.5326</w:t>
            </w:r>
          </w:p>
        </w:tc>
        <w:tc>
          <w:tcPr>
            <w:tcW w:w="13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1.8384</w:t>
            </w:r>
          </w:p>
        </w:tc>
        <w:tc>
          <w:tcPr>
            <w:tcW w:w="13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15.4326</w:t>
            </w:r>
          </w:p>
        </w:tc>
        <w:tc>
          <w:tcPr>
            <w:tcW w:w="140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53.9719</w:t>
            </w:r>
          </w:p>
        </w:tc>
      </w:tr>
    </w:tbl>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五、社会贡献</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（一）继续教育服务国家战略、行业及经济社会发展与学习型社会建设情况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职业院校教师素质提高计划“送培到校，精准培训”国家级培训，完成三个学校的教师现代职业教育教学能力培训，每期培训10天，培训总人数116人，教学效果好，学员反映好，学员网上评教平均得分97.23分。为提升医院骨干医师教学能力，组建了医院骨干医师教学能力培训师资团队，圆满完成六家医院的骨干医师教学能力培训。培训总人数达379人，培训总课时73个，精心组织，精心施教，得到各医院和培训学员的高度评价，为培养“双师型”教师奠定基础。</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（二）继续教育资源面向校内、社会开放服务情况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学校继续教育资源面向校内学生、社会全面开放。</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（三）对口支援、教育帮扶情况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2019年，完成对湖南护理学校、湖南医药职业中等专业学校、湘潭生物机电学校三个学校的教师现代职业教育教学能力培训，每期培训为期10天，培训教师116人。</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六、特色创新</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（一）实践特色与模式创新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提升附属医院骨干医师教学能力，组织了附属医院骨干医师教学能力培训，完成对湘潭市中心医院、湘潭市第一人民医院、湘乡人民医院、湘潭县人民医院、湘潭市第六人民医院、桃江县人民医院骨干医师教学能力培训。培训了六期12天，培训总人数达379人，精心组织，精心施教，得到各医院和培训学员的高度评价。</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（二）国际交流与合作情况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我校无此情况。</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（三）教育教学研究与成果等情况</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校是教育部、财政部认定的优质省级职教师资培养培训基地，湖南省助理全科医生培训基地，湖南省基层卫生本土化人才培养培训基地，湘潭市专业技术人员继续教育培训基地。2019年7月，教育部又认定我校为康复治疗技术“双师型”教师培养培训基地。</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七、问题挑战</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（一）面对的新挑战、新需求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成人高等学历教育生源不足，形成萎缩态势。</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社会培训需求扩大，特别是职业技能培训社会需求量大。</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（二）存在的主要问题及原因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一是因学历大幅提升，中专生数量减少，我校学历继续教育面向医学相关中专毕业生招生，生源不足。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二是培训工作的社会影响力有待加强。</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八、对策建议</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（一）发展对策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1.提高认识，整体谋划。</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分认识职业培训作为职业院校法定职责定位，充分认识职业培训对于促进就业创业、改善民生、维护稳定的现实意义。坚持注重实效，促进就业；坚持扩大规模，提升质量；坚持统筹资源，协同推进；坚持完善机制，激发动力。面向社会广泛开展职业培训，逐步形成培训理念更加先进、培训层次更加完善、培训课程资源更加丰富、培训类型和形式更加多样、培训能力和服务就业创业能力显著增强的职业培训新格局，把我校打造成为省内一流的职业培训基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2.传承优势，拓宽领域。</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过不断实践，我校在培训基地建设、培训项目组织、培训课程涵养、培训团队遴选、培训项目管理等方面已经积累了比较成功的经验。下一步工作，要在传承优势的基础上，拓宽培训领域，积极拓展面向重点人群的就业创业培训和失业人员再就业培训，认真做好职业指导和就业服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3.突出重点，打造品牌。</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重点加强康复治疗“双师型”教师培养培训基地、省级优质职教师资培养培训基地、湖南省基层卫生本土化人才培养培训基地、湖南省助理全科医生培训基地、湘潭市专业技术人员继续教育培训基地的建设，进一步扩大培训基地的辐射力和影响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（2）高质量完成国家级、省级培训任务，认真组织“双师型”教师培训项目，积极组织旨在提升毕业生就业竞争力的校内培训，广泛开展适合我校专业优势的社会培训。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（3）响应国家职业教育改革要求，以“1+X”证书试点制度为引领，积极开展面向学生的职业能力培训，积极开发职业技能鉴定工种，扩大职业技能鉴定规模，更好更充分地满足学生掌握职业技能的需求。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过两到三年的努力，形成学历教育与培训并举并重的办学格局，把开展培训工作作为一把手工程，健全和完善培训激励和保障制度，进一步扩大培训规模，提升培训质量，力争建设3—4个省内一流国内领先的职业培训基地和职业培训骨干专家团队，涵养5——6个以提高技术技能水平、提升就业创业能力为核心的高质量的职业培训课程体系，为实现更高质量和更充分就业提供有力支持。</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（二）政策建议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1.进一步规范学历继续教育办学制度，使学历继续教育健康有序发展。</w:t>
      </w:r>
    </w:p>
    <w:p>
      <w:pPr>
        <w:spacing w:line="58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2.完善非学历继续教育激励机制，制订相关政策，为激励非学历继续教育发展提供制度保障。</w:t>
      </w:r>
    </w:p>
    <w:p>
      <w:pPr>
        <w:spacing w:line="580" w:lineRule="exact"/>
        <w:jc w:val="left"/>
        <w:rPr>
          <w:rFonts w:ascii="仿宋_GB2312" w:hAnsi="仿宋_GB2312" w:eastAsia="仿宋_GB2312" w:cs="仿宋_GB2312"/>
          <w:b/>
          <w:sz w:val="32"/>
          <w:szCs w:val="32"/>
        </w:rPr>
      </w:pPr>
    </w:p>
    <w:p>
      <w:pPr>
        <w:spacing w:line="580" w:lineRule="exact"/>
        <w:jc w:val="left"/>
        <w:rPr>
          <w:rFonts w:ascii="仿宋_GB2312" w:hAnsi="仿宋_GB2312" w:eastAsia="仿宋_GB2312" w:cs="仿宋_GB2312"/>
          <w:b/>
          <w:sz w:val="32"/>
          <w:szCs w:val="32"/>
        </w:rPr>
      </w:pPr>
    </w:p>
    <w:p>
      <w:pPr>
        <w:spacing w:line="580" w:lineRule="exact"/>
        <w:ind w:firstLine="5120" w:firstLineChars="1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湘潭医卫职业技术学院</w:t>
      </w:r>
    </w:p>
    <w:p>
      <w:pPr>
        <w:spacing w:line="580" w:lineRule="exact"/>
        <w:ind w:firstLine="5776" w:firstLineChars="180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2020年7月18日</w:t>
      </w:r>
    </w:p>
    <w:sectPr>
      <w:pgSz w:w="11906" w:h="16838"/>
      <w:pgMar w:top="1440" w:right="1276" w:bottom="1440" w:left="1276"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A11DCB-B5BF-4940-936E-5719E2AAC55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embedRegular r:id="rId2" w:fontKey="{B27C27B3-93E7-4DAA-AFDB-ADE3112D5602}"/>
  </w:font>
  <w:font w:name="方正小标宋简体">
    <w:panose1 w:val="02000000000000000000"/>
    <w:charset w:val="86"/>
    <w:family w:val="auto"/>
    <w:pitch w:val="default"/>
    <w:sig w:usb0="00000000" w:usb1="00000000" w:usb2="00000000" w:usb3="00000000" w:csb0="00000000" w:csb1="00000000"/>
    <w:embedRegular r:id="rId3" w:fontKey="{7B32EF70-FEA2-4F9D-9571-2F6F308943E4}"/>
  </w:font>
  <w:font w:name="仿宋_GB2312">
    <w:altName w:val="仿宋"/>
    <w:panose1 w:val="00000000000000000000"/>
    <w:charset w:val="86"/>
    <w:family w:val="modern"/>
    <w:pitch w:val="default"/>
    <w:sig w:usb0="00000000" w:usb1="00000000" w:usb2="00000000" w:usb3="00000000" w:csb0="00040000" w:csb1="00000000"/>
    <w:embedRegular r:id="rId4" w:fontKey="{51F7B85F-8C1A-46D5-86D0-6F4192E7BAC2}"/>
  </w:font>
  <w:font w:name="楷体_GB2312">
    <w:altName w:val="楷体"/>
    <w:panose1 w:val="00000000000000000000"/>
    <w:charset w:val="86"/>
    <w:family w:val="modern"/>
    <w:pitch w:val="default"/>
    <w:sig w:usb0="00000000" w:usb1="00000000" w:usb2="00000010" w:usb3="00000000" w:csb0="00040000" w:csb1="00000000"/>
    <w:embedRegular r:id="rId5" w:fontKey="{A85C9E44-A67A-40B5-A6DA-77B8FF6158DF}"/>
  </w:font>
  <w:font w:name="仿宋">
    <w:panose1 w:val="02010609060101010101"/>
    <w:charset w:val="86"/>
    <w:family w:val="modern"/>
    <w:pitch w:val="default"/>
    <w:sig w:usb0="800002BF" w:usb1="38CF7CFA" w:usb2="00000016" w:usb3="00000000" w:csb0="00040001" w:csb1="00000000"/>
    <w:embedRegular r:id="rId6" w:fontKey="{0064C82E-C12E-4D25-B9A0-B3367CFC7AFF}"/>
  </w:font>
  <w:font w:name="华文中宋">
    <w:panose1 w:val="02010600040101010101"/>
    <w:charset w:val="86"/>
    <w:family w:val="auto"/>
    <w:pitch w:val="default"/>
    <w:sig w:usb0="00000287" w:usb1="080F0000" w:usb2="00000000" w:usb3="00000000" w:csb0="0004009F" w:csb1="DFD70000"/>
    <w:embedRegular r:id="rId7" w:fontKey="{3E1F4DCB-5B65-41C6-AB52-3CB961AFAE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  \* MERGEFORMAT </w:instrText>
                          </w:r>
                          <w:r>
                            <w:rPr>
                              <w:rFonts w:hint="eastAsia" w:asciiTheme="majorEastAsia" w:hAnsiTheme="majorEastAsia" w:eastAsiaTheme="majorEastAsia" w:cstheme="majorEastAsia"/>
                            </w:rPr>
                            <w:fldChar w:fldCharType="separate"/>
                          </w:r>
                          <w:r>
                            <w:rPr>
                              <w:rFonts w:asciiTheme="majorEastAsia" w:hAnsiTheme="majorEastAsia" w:eastAsiaTheme="majorEastAsia" w:cstheme="majorEastAsia"/>
                            </w:rPr>
                            <w:t>- 21 -</w:t>
                          </w:r>
                          <w:r>
                            <w:rPr>
                              <w:rFonts w:hint="eastAsia" w:asciiTheme="majorEastAsia" w:hAnsiTheme="majorEastAsia" w:eastAsiaTheme="majorEastAsia" w:cstheme="major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rPr>
                        <w:rFonts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  \* MERGEFORMAT </w:instrText>
                    </w:r>
                    <w:r>
                      <w:rPr>
                        <w:rFonts w:hint="eastAsia" w:asciiTheme="majorEastAsia" w:hAnsiTheme="majorEastAsia" w:eastAsiaTheme="majorEastAsia" w:cstheme="majorEastAsia"/>
                      </w:rPr>
                      <w:fldChar w:fldCharType="separate"/>
                    </w:r>
                    <w:r>
                      <w:rPr>
                        <w:rFonts w:asciiTheme="majorEastAsia" w:hAnsiTheme="majorEastAsia" w:eastAsiaTheme="majorEastAsia" w:cstheme="majorEastAsia"/>
                      </w:rPr>
                      <w:t>- 21 -</w:t>
                    </w:r>
                    <w:r>
                      <w:rPr>
                        <w:rFonts w:hint="eastAsia" w:asciiTheme="majorEastAsia" w:hAnsiTheme="majorEastAsia" w:eastAsiaTheme="majorEastAsia" w:cstheme="major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62653"/>
    <w:multiLevelType w:val="multilevel"/>
    <w:tmpl w:val="2FB62653"/>
    <w:lvl w:ilvl="0" w:tentative="0">
      <w:start w:val="1"/>
      <w:numFmt w:val="decimal"/>
      <w:pStyle w:val="1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3CAD7DE8"/>
    <w:multiLevelType w:val="multilevel"/>
    <w:tmpl w:val="3CAD7DE8"/>
    <w:lvl w:ilvl="0" w:tentative="0">
      <w:start w:val="1"/>
      <w:numFmt w:val="decimal"/>
      <w:lvlText w:val="%1."/>
      <w:lvlJc w:val="left"/>
      <w:pPr>
        <w:ind w:left="1005" w:hanging="36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A9"/>
    <w:rsid w:val="00000164"/>
    <w:rsid w:val="00005867"/>
    <w:rsid w:val="00015F63"/>
    <w:rsid w:val="000302CC"/>
    <w:rsid w:val="00030D91"/>
    <w:rsid w:val="000372CF"/>
    <w:rsid w:val="000378B8"/>
    <w:rsid w:val="000554E5"/>
    <w:rsid w:val="00055784"/>
    <w:rsid w:val="00083496"/>
    <w:rsid w:val="00084F05"/>
    <w:rsid w:val="000865CC"/>
    <w:rsid w:val="000A54D7"/>
    <w:rsid w:val="000B46EA"/>
    <w:rsid w:val="000B68F9"/>
    <w:rsid w:val="000D4A9B"/>
    <w:rsid w:val="000D6FF2"/>
    <w:rsid w:val="000D7445"/>
    <w:rsid w:val="000E306B"/>
    <w:rsid w:val="000E340A"/>
    <w:rsid w:val="000E3B11"/>
    <w:rsid w:val="000E5A61"/>
    <w:rsid w:val="000F6579"/>
    <w:rsid w:val="00103136"/>
    <w:rsid w:val="00137A82"/>
    <w:rsid w:val="001577FD"/>
    <w:rsid w:val="001667E4"/>
    <w:rsid w:val="001A2984"/>
    <w:rsid w:val="001B47B8"/>
    <w:rsid w:val="001C6ED6"/>
    <w:rsid w:val="00215D57"/>
    <w:rsid w:val="00257C22"/>
    <w:rsid w:val="002909B8"/>
    <w:rsid w:val="002A0D22"/>
    <w:rsid w:val="002A46A4"/>
    <w:rsid w:val="002B5713"/>
    <w:rsid w:val="002D2352"/>
    <w:rsid w:val="002D3C22"/>
    <w:rsid w:val="002D7853"/>
    <w:rsid w:val="002F1010"/>
    <w:rsid w:val="002F10F8"/>
    <w:rsid w:val="002F7FA4"/>
    <w:rsid w:val="00314A65"/>
    <w:rsid w:val="003162F7"/>
    <w:rsid w:val="00334A66"/>
    <w:rsid w:val="00336415"/>
    <w:rsid w:val="00336C8B"/>
    <w:rsid w:val="00360396"/>
    <w:rsid w:val="003631A1"/>
    <w:rsid w:val="00373C37"/>
    <w:rsid w:val="00380EE6"/>
    <w:rsid w:val="003916DF"/>
    <w:rsid w:val="003A5107"/>
    <w:rsid w:val="003C2A19"/>
    <w:rsid w:val="003C37AC"/>
    <w:rsid w:val="003C7150"/>
    <w:rsid w:val="003E3147"/>
    <w:rsid w:val="003F0256"/>
    <w:rsid w:val="00400679"/>
    <w:rsid w:val="00410B91"/>
    <w:rsid w:val="00413651"/>
    <w:rsid w:val="00413EFE"/>
    <w:rsid w:val="00414802"/>
    <w:rsid w:val="00420115"/>
    <w:rsid w:val="00431C81"/>
    <w:rsid w:val="0045230B"/>
    <w:rsid w:val="004740B6"/>
    <w:rsid w:val="00485244"/>
    <w:rsid w:val="0049464C"/>
    <w:rsid w:val="004A38F8"/>
    <w:rsid w:val="004A59CB"/>
    <w:rsid w:val="004B5C10"/>
    <w:rsid w:val="004C362D"/>
    <w:rsid w:val="004D7279"/>
    <w:rsid w:val="004E71C5"/>
    <w:rsid w:val="004F2767"/>
    <w:rsid w:val="004F5FF0"/>
    <w:rsid w:val="005218F5"/>
    <w:rsid w:val="00523E74"/>
    <w:rsid w:val="0052607D"/>
    <w:rsid w:val="00556CC7"/>
    <w:rsid w:val="00557540"/>
    <w:rsid w:val="00563197"/>
    <w:rsid w:val="00567503"/>
    <w:rsid w:val="00571201"/>
    <w:rsid w:val="00584A71"/>
    <w:rsid w:val="005B25A4"/>
    <w:rsid w:val="005B3048"/>
    <w:rsid w:val="005F05D2"/>
    <w:rsid w:val="006002F7"/>
    <w:rsid w:val="00610C72"/>
    <w:rsid w:val="00616AD2"/>
    <w:rsid w:val="00647679"/>
    <w:rsid w:val="00652035"/>
    <w:rsid w:val="00660885"/>
    <w:rsid w:val="00671755"/>
    <w:rsid w:val="0067450C"/>
    <w:rsid w:val="00681E97"/>
    <w:rsid w:val="00682792"/>
    <w:rsid w:val="00692F31"/>
    <w:rsid w:val="006941D8"/>
    <w:rsid w:val="006C1AE2"/>
    <w:rsid w:val="006C5CFC"/>
    <w:rsid w:val="006D0E72"/>
    <w:rsid w:val="006E53BC"/>
    <w:rsid w:val="006F5F81"/>
    <w:rsid w:val="00730528"/>
    <w:rsid w:val="007447A9"/>
    <w:rsid w:val="00754925"/>
    <w:rsid w:val="0075718B"/>
    <w:rsid w:val="007A050B"/>
    <w:rsid w:val="007B2B94"/>
    <w:rsid w:val="007B3737"/>
    <w:rsid w:val="007B3D34"/>
    <w:rsid w:val="007E07E4"/>
    <w:rsid w:val="008018FA"/>
    <w:rsid w:val="00806FDD"/>
    <w:rsid w:val="00814C38"/>
    <w:rsid w:val="00833543"/>
    <w:rsid w:val="00837DE9"/>
    <w:rsid w:val="008435A8"/>
    <w:rsid w:val="00854992"/>
    <w:rsid w:val="00876776"/>
    <w:rsid w:val="008777CD"/>
    <w:rsid w:val="00894A76"/>
    <w:rsid w:val="008A214D"/>
    <w:rsid w:val="008A502E"/>
    <w:rsid w:val="008B6CBC"/>
    <w:rsid w:val="008D1965"/>
    <w:rsid w:val="008E2FB6"/>
    <w:rsid w:val="008E3E35"/>
    <w:rsid w:val="008E5320"/>
    <w:rsid w:val="008F3AD0"/>
    <w:rsid w:val="00901C6A"/>
    <w:rsid w:val="0091233E"/>
    <w:rsid w:val="00934E1B"/>
    <w:rsid w:val="00935988"/>
    <w:rsid w:val="00962F1B"/>
    <w:rsid w:val="00966CD1"/>
    <w:rsid w:val="00973AA9"/>
    <w:rsid w:val="00983C60"/>
    <w:rsid w:val="009C3BF1"/>
    <w:rsid w:val="009F28C5"/>
    <w:rsid w:val="00A23C6A"/>
    <w:rsid w:val="00A35E37"/>
    <w:rsid w:val="00A42DF3"/>
    <w:rsid w:val="00A44E33"/>
    <w:rsid w:val="00A61753"/>
    <w:rsid w:val="00A6624D"/>
    <w:rsid w:val="00A80C73"/>
    <w:rsid w:val="00A85D56"/>
    <w:rsid w:val="00A9217B"/>
    <w:rsid w:val="00AB1157"/>
    <w:rsid w:val="00AB3649"/>
    <w:rsid w:val="00AC03A6"/>
    <w:rsid w:val="00AC2D31"/>
    <w:rsid w:val="00AD0BCC"/>
    <w:rsid w:val="00AD5611"/>
    <w:rsid w:val="00AD593A"/>
    <w:rsid w:val="00AD651B"/>
    <w:rsid w:val="00AE7CC1"/>
    <w:rsid w:val="00B0110F"/>
    <w:rsid w:val="00B27E3D"/>
    <w:rsid w:val="00B312E9"/>
    <w:rsid w:val="00B4051A"/>
    <w:rsid w:val="00B45904"/>
    <w:rsid w:val="00B606FD"/>
    <w:rsid w:val="00B837AC"/>
    <w:rsid w:val="00BA0E8F"/>
    <w:rsid w:val="00BA590B"/>
    <w:rsid w:val="00BC7F03"/>
    <w:rsid w:val="00BE4913"/>
    <w:rsid w:val="00BF315F"/>
    <w:rsid w:val="00C02A33"/>
    <w:rsid w:val="00C04C40"/>
    <w:rsid w:val="00C12405"/>
    <w:rsid w:val="00C2184B"/>
    <w:rsid w:val="00C23621"/>
    <w:rsid w:val="00C32B8D"/>
    <w:rsid w:val="00C330DD"/>
    <w:rsid w:val="00C348C2"/>
    <w:rsid w:val="00C36932"/>
    <w:rsid w:val="00C609AE"/>
    <w:rsid w:val="00C65439"/>
    <w:rsid w:val="00C759CA"/>
    <w:rsid w:val="00C83516"/>
    <w:rsid w:val="00C976D8"/>
    <w:rsid w:val="00CB345D"/>
    <w:rsid w:val="00CC78A3"/>
    <w:rsid w:val="00CD60C0"/>
    <w:rsid w:val="00CE2A85"/>
    <w:rsid w:val="00CE46C9"/>
    <w:rsid w:val="00CF34E3"/>
    <w:rsid w:val="00D05364"/>
    <w:rsid w:val="00D211D4"/>
    <w:rsid w:val="00D265DE"/>
    <w:rsid w:val="00D3109B"/>
    <w:rsid w:val="00D51BBE"/>
    <w:rsid w:val="00D52A7A"/>
    <w:rsid w:val="00D55851"/>
    <w:rsid w:val="00DA17C5"/>
    <w:rsid w:val="00DA6E6F"/>
    <w:rsid w:val="00DB10C7"/>
    <w:rsid w:val="00DB3513"/>
    <w:rsid w:val="00DC6D63"/>
    <w:rsid w:val="00DD493C"/>
    <w:rsid w:val="00DD49C4"/>
    <w:rsid w:val="00E072EC"/>
    <w:rsid w:val="00E6054F"/>
    <w:rsid w:val="00E703D2"/>
    <w:rsid w:val="00E77BDA"/>
    <w:rsid w:val="00E90D59"/>
    <w:rsid w:val="00EA4CCD"/>
    <w:rsid w:val="00EB02B7"/>
    <w:rsid w:val="00EC2151"/>
    <w:rsid w:val="00EC50D9"/>
    <w:rsid w:val="00EE0537"/>
    <w:rsid w:val="00EF5140"/>
    <w:rsid w:val="00EF7639"/>
    <w:rsid w:val="00F10185"/>
    <w:rsid w:val="00F12FF3"/>
    <w:rsid w:val="00F13A23"/>
    <w:rsid w:val="00F3421D"/>
    <w:rsid w:val="00F343E2"/>
    <w:rsid w:val="00F57636"/>
    <w:rsid w:val="00F620D7"/>
    <w:rsid w:val="00F6257B"/>
    <w:rsid w:val="00F73A59"/>
    <w:rsid w:val="00F74ABB"/>
    <w:rsid w:val="00F75538"/>
    <w:rsid w:val="00F76361"/>
    <w:rsid w:val="00F87514"/>
    <w:rsid w:val="00F91947"/>
    <w:rsid w:val="00F91FE2"/>
    <w:rsid w:val="00FA0985"/>
    <w:rsid w:val="00FA1041"/>
    <w:rsid w:val="00FD0C82"/>
    <w:rsid w:val="00FD61B8"/>
    <w:rsid w:val="00FE048D"/>
    <w:rsid w:val="0238038E"/>
    <w:rsid w:val="03703175"/>
    <w:rsid w:val="03D07609"/>
    <w:rsid w:val="08BF612B"/>
    <w:rsid w:val="0A8819B8"/>
    <w:rsid w:val="0ADE61EC"/>
    <w:rsid w:val="0BF33E27"/>
    <w:rsid w:val="0E247698"/>
    <w:rsid w:val="0F806329"/>
    <w:rsid w:val="10374194"/>
    <w:rsid w:val="120E1A40"/>
    <w:rsid w:val="125E50AE"/>
    <w:rsid w:val="1A1E6698"/>
    <w:rsid w:val="1B9B0232"/>
    <w:rsid w:val="247061E5"/>
    <w:rsid w:val="288E4CDC"/>
    <w:rsid w:val="2C630E2D"/>
    <w:rsid w:val="32887406"/>
    <w:rsid w:val="33A27425"/>
    <w:rsid w:val="3B5236B4"/>
    <w:rsid w:val="3CE7521F"/>
    <w:rsid w:val="40CB4538"/>
    <w:rsid w:val="4102295D"/>
    <w:rsid w:val="4FC241A4"/>
    <w:rsid w:val="512E4BEE"/>
    <w:rsid w:val="51334B60"/>
    <w:rsid w:val="55BD0984"/>
    <w:rsid w:val="568229CC"/>
    <w:rsid w:val="572803C8"/>
    <w:rsid w:val="5B404723"/>
    <w:rsid w:val="5E2E1D99"/>
    <w:rsid w:val="63336A26"/>
    <w:rsid w:val="6A142C7E"/>
    <w:rsid w:val="73200E72"/>
    <w:rsid w:val="7DA81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ascii="Times New Roman" w:hAnsi="Times New Roman" w:cs="Times New Roman"/>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kern w:val="2"/>
      <w:sz w:val="18"/>
      <w:szCs w:val="18"/>
    </w:rPr>
  </w:style>
  <w:style w:type="character" w:customStyle="1" w:styleId="14">
    <w:name w:val="样式1 Char"/>
    <w:link w:val="15"/>
    <w:qFormat/>
    <w:uiPriority w:val="0"/>
    <w:rPr>
      <w:b/>
      <w:kern w:val="2"/>
      <w:sz w:val="21"/>
      <w:szCs w:val="24"/>
    </w:rPr>
  </w:style>
  <w:style w:type="paragraph" w:customStyle="1" w:styleId="15">
    <w:name w:val="样式1"/>
    <w:basedOn w:val="1"/>
    <w:link w:val="14"/>
    <w:qFormat/>
    <w:uiPriority w:val="0"/>
    <w:pPr>
      <w:spacing w:line="360" w:lineRule="auto"/>
    </w:pPr>
    <w:rPr>
      <w:b/>
      <w:szCs w:val="24"/>
    </w:rPr>
  </w:style>
  <w:style w:type="character" w:customStyle="1" w:styleId="16">
    <w:name w:val="样式24 Char"/>
    <w:basedOn w:val="8"/>
    <w:link w:val="17"/>
    <w:qFormat/>
    <w:uiPriority w:val="0"/>
    <w:rPr>
      <w:rFonts w:ascii="楷体" w:hAnsi="楷体" w:eastAsia="楷体"/>
      <w:b/>
      <w:bCs/>
      <w:color w:val="2350A0"/>
      <w:sz w:val="32"/>
      <w:szCs w:val="32"/>
    </w:rPr>
  </w:style>
  <w:style w:type="paragraph" w:customStyle="1" w:styleId="17">
    <w:name w:val="样式24"/>
    <w:basedOn w:val="1"/>
    <w:link w:val="16"/>
    <w:qFormat/>
    <w:uiPriority w:val="0"/>
    <w:pPr>
      <w:numPr>
        <w:ilvl w:val="0"/>
        <w:numId w:val="1"/>
      </w:numPr>
      <w:snapToGrid w:val="0"/>
      <w:spacing w:before="120" w:after="120" w:line="360" w:lineRule="auto"/>
      <w:contextualSpacing/>
      <w:outlineLvl w:val="2"/>
    </w:pPr>
    <w:rPr>
      <w:rFonts w:ascii="楷体" w:hAnsi="楷体" w:eastAsia="楷体"/>
      <w:b/>
      <w:bCs/>
      <w:color w:val="2350A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2E640F-3991-4A5B-9550-16BEC978036E}">
  <ds:schemaRefs/>
</ds:datastoreItem>
</file>

<file path=docProps/app.xml><?xml version="1.0" encoding="utf-8"?>
<Properties xmlns="http://schemas.openxmlformats.org/officeDocument/2006/extended-properties" xmlns:vt="http://schemas.openxmlformats.org/officeDocument/2006/docPropsVTypes">
  <Template>Normal</Template>
  <Pages>23</Pages>
  <Words>1660</Words>
  <Characters>9462</Characters>
  <Lines>78</Lines>
  <Paragraphs>22</Paragraphs>
  <TotalTime>38</TotalTime>
  <ScaleCrop>false</ScaleCrop>
  <LinksUpToDate>false</LinksUpToDate>
  <CharactersWithSpaces>11100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2019-05-11T07:38:00Z</dcterms:created>
  <dc:creator>Windows 用户</dc:creator>
  <cp:lastModifiedBy>洁嫔</cp:lastModifiedBy>
  <cp:lastPrinted>2020-07-21T08:24:00Z</cp:lastPrinted>
  <dcterms:modified xsi:type="dcterms:W3CDTF">2020-07-21T08:56:18Z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